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64C922">
      <w:pPr>
        <w:spacing w:line="570" w:lineRule="exact"/>
        <w:jc w:val="center"/>
        <w:rPr>
          <w:rFonts w:hint="eastAsia" w:ascii="方正小标宋简体" w:hAnsi="方正小标宋简体" w:eastAsia="方正小标宋简体" w:cs="Times New Roman"/>
          <w:sz w:val="44"/>
          <w:szCs w:val="44"/>
        </w:rPr>
      </w:pPr>
      <w:r>
        <w:rPr>
          <w:rFonts w:hint="eastAsia" w:ascii="方正小标宋简体" w:hAnsi="方正小标宋简体" w:eastAsia="方正小标宋简体" w:cs="Times New Roman"/>
          <w:sz w:val="44"/>
          <w:szCs w:val="44"/>
        </w:rPr>
        <w:t>联合体协议书</w:t>
      </w:r>
    </w:p>
    <w:p w14:paraId="180DE7B8">
      <w:pPr>
        <w:spacing w:line="570" w:lineRule="exact"/>
        <w:jc w:val="center"/>
        <w:rPr>
          <w:rFonts w:hint="eastAsia" w:ascii="方正小标宋简体" w:hAnsi="方正小标宋简体" w:eastAsia="方正小标宋简体" w:cs="Times New Roman"/>
          <w:sz w:val="44"/>
          <w:szCs w:val="44"/>
        </w:rPr>
      </w:pPr>
    </w:p>
    <w:p w14:paraId="6F6D8085">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甲方（联合体牵头人）：广汉市广投建材有限公司</w:t>
      </w:r>
    </w:p>
    <w:p w14:paraId="661A263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统一社会信用代码：91510681MAD792KU4G</w:t>
      </w:r>
    </w:p>
    <w:p w14:paraId="2E72A70D">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法定代表人：王瀚坤</w:t>
      </w:r>
    </w:p>
    <w:p w14:paraId="72B63E5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地址：</w:t>
      </w:r>
      <w:r>
        <w:rPr>
          <w:rFonts w:hint="default" w:ascii="Times New Roman" w:hAnsi="Times New Roman" w:eastAsia="方正仿宋_GB2312" w:cs="Times New Roman"/>
          <w:kern w:val="2"/>
          <w:sz w:val="32"/>
          <w:szCs w:val="32"/>
          <w:lang w:val="en-US" w:eastAsia="zh-CN" w:bidi="ar-SA"/>
        </w:rPr>
        <w:t>四川省德阳市广汉市天津路西一段38号航天航空科技孵化产业园8F808</w:t>
      </w:r>
    </w:p>
    <w:p w14:paraId="6251FCB8">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联系方式：0838-5191898</w:t>
      </w:r>
    </w:p>
    <w:p w14:paraId="7DA98FF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乙方（联合体成员）：</w:t>
      </w:r>
    </w:p>
    <w:p w14:paraId="2D6CE35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统一社会信用代码：</w:t>
      </w:r>
    </w:p>
    <w:p w14:paraId="4DCDCF6A">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w:t>
      </w:r>
    </w:p>
    <w:p w14:paraId="085707F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地址：</w:t>
      </w:r>
    </w:p>
    <w:p w14:paraId="18CED4DA">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联系方式：</w:t>
      </w:r>
    </w:p>
    <w:p w14:paraId="4B8B129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49A4EDA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为参与三星堆遗址区棚户区改造项目（二期）项目（以下简称“本项目”）商品混凝土供应及后续履约，广汉市广投建材有限公司（以下简称“广投建材”）与联合体成员本着平等自愿、互利共赢、诚实信用的原则，就组成联合体参与本项目相关事宜协商一致，签订本协议，以资共同遵守。</w:t>
      </w:r>
    </w:p>
    <w:p w14:paraId="3B0CDFD8">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一、联合体基本信息</w:t>
      </w:r>
    </w:p>
    <w:p w14:paraId="6E16A73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1.联合体名称：[可约定联合体名称，如“XX有限公司-XX公司联合体”]</w:t>
      </w:r>
    </w:p>
    <w:p w14:paraId="15522B6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2.广投建材作为联合体牵头人，合法代表联合体负责本项目合同签订，并代表联合体提交和接收相关的资料、信息及指示，负责合同实施阶段货物的组织和协调工作，负责项目货物供应工作。</w:t>
      </w:r>
    </w:p>
    <w:p w14:paraId="46D79D5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乙方作为联合体成员，完成本项目合同范围内商品混凝土的供货内容。</w:t>
      </w:r>
    </w:p>
    <w:p w14:paraId="4B419A79">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二、合作范围</w:t>
      </w:r>
    </w:p>
    <w:p w14:paraId="6BBB00C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联合体共同参与本项目商品混凝土的供应事宜，共同履行与项目总承包单位签订的采购合同（以下简称“主合同”），由联合体成员负责商品混凝土的生产、供应，广投建材负责货物供应阶段的组织协调工作。</w:t>
      </w:r>
    </w:p>
    <w:p w14:paraId="2F7C89B1">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三、各方职责</w:t>
      </w:r>
    </w:p>
    <w:p w14:paraId="72EE3CB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（一）广投建材（联合体牵头人）职责</w:t>
      </w:r>
    </w:p>
    <w:p w14:paraId="0A47A77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1.负责本项目主合同签订的统筹协调。</w:t>
      </w:r>
    </w:p>
    <w:p w14:paraId="2D03BEA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2.负责货物供应阶段的组织协调工作，包括但不限于与项目总承包单位对接供货计划、协调联合体成员与项目总承包单位的沟通、跟进供货进度、协助处理供货过程中的问题等。</w:t>
      </w:r>
    </w:p>
    <w:p w14:paraId="4595D8E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3.负责与项目总承包单位办理商品混凝土的结算事宜，包括核对结算数量、结算单价，跟进项目总承包单位支付进度。</w:t>
      </w:r>
    </w:p>
    <w:p w14:paraId="45A41D1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4.按本协议约定向联合体成员支付扣除组织协调费后的货款。</w:t>
      </w:r>
    </w:p>
    <w:p w14:paraId="4FDAF82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5.履行主合同中约定的联合体牵头人相关义务。</w:t>
      </w:r>
    </w:p>
    <w:p w14:paraId="6CD037F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（二）乙方（联合体成员）职责</w:t>
      </w:r>
    </w:p>
    <w:p w14:paraId="0480F65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1.与广投建材共同完成主合同签订工作，并与广投建材共同按照主合同约定向项目总承包单位书面主张其欠付款的违约金</w:t>
      </w:r>
      <w:r>
        <w:rPr>
          <w:rFonts w:hint="eastAsia" w:ascii="Times New Roman" w:hAnsi="Times New Roman" w:eastAsia="方正仿宋简体" w:cs="Times New Roman"/>
          <w:color w:val="FF0000"/>
          <w:sz w:val="32"/>
          <w:szCs w:val="32"/>
          <w:lang w:val="en-US" w:eastAsia="zh-CN"/>
        </w:rPr>
        <w:t>。</w:t>
      </w:r>
    </w:p>
    <w:p w14:paraId="298D2B0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2.按照</w:t>
      </w:r>
      <w:r>
        <w:rPr>
          <w:rFonts w:hint="default" w:ascii="Times New Roman" w:hAnsi="Times New Roman" w:eastAsia="方正仿宋简体" w:cs="Times New Roman"/>
          <w:sz w:val="32"/>
          <w:szCs w:val="32"/>
          <w:lang w:val="en-US" w:eastAsia="zh-CN"/>
        </w:rPr>
        <w:t>主合同</w:t>
      </w:r>
      <w:r>
        <w:rPr>
          <w:rFonts w:hint="eastAsia" w:ascii="Times New Roman" w:hAnsi="Times New Roman" w:eastAsia="方正仿宋简体" w:cs="Times New Roman"/>
          <w:sz w:val="32"/>
          <w:szCs w:val="32"/>
          <w:lang w:val="en-US" w:eastAsia="zh-CN"/>
        </w:rPr>
        <w:t>及本协议约定，按时、按质、按量供应商品混凝土，确保供货符合项目总承包单位要求。</w:t>
      </w:r>
    </w:p>
    <w:p w14:paraId="426C54B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3.负责供货过程中的运输、卸货等事宜，承担相关费用。</w:t>
      </w:r>
    </w:p>
    <w:p w14:paraId="40E947A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4.配合项目总承包单位的抽检工作，确保供货不存在亏方等问题。</w:t>
      </w:r>
    </w:p>
    <w:p w14:paraId="6DFD240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5.提供供货所需的送货小票等结算凭证，配合广投建材办理结算。</w:t>
      </w:r>
    </w:p>
    <w:p w14:paraId="07982F1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6.履行主合同中约定的货物供应相关义务。</w:t>
      </w:r>
    </w:p>
    <w:p w14:paraId="7C1D7CE3">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四、组织协调费</w:t>
      </w:r>
    </w:p>
    <w:p w14:paraId="24C2ED3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1.因广投建材履行组织协调职责产生费用，联合体成员同意向广投建材支付组织协调费。</w:t>
      </w:r>
      <w:r>
        <w:rPr>
          <w:rFonts w:hint="eastAsia" w:ascii="Times New Roman" w:hAnsi="Times New Roman" w:eastAsia="方正仿宋简体" w:cs="Times New Roman"/>
          <w:sz w:val="32"/>
          <w:szCs w:val="32"/>
          <w:lang w:val="en-US" w:eastAsia="zh-CN"/>
        </w:rPr>
        <w:tab/>
      </w:r>
    </w:p>
    <w:p w14:paraId="0CFECEB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2.组织协调费计算方式：以商品混凝土含税结算金额为基数，按广投建材与联合体成员双方确定的组织协调费系数X‰计算。</w:t>
      </w:r>
    </w:p>
    <w:p w14:paraId="3CE9181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费用扣除：在与项目总承包单位货物结算过程后，广投建材按与项目总承包单位含税结算金额扣除组织协调费（即组织协调费=商品混凝土含税结算金额×X‰），向联合体成员支付货款。该费用扣除规则适用于月度进度款、供货完成后进度款及竣工结算款等所有支付节点。</w:t>
      </w:r>
    </w:p>
    <w:p w14:paraId="42A502B1">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五、</w:t>
      </w:r>
      <w:r>
        <w:rPr>
          <w:rFonts w:hint="eastAsia" w:ascii="黑体" w:hAnsi="黑体" w:eastAsia="黑体" w:cs="Times New Roman"/>
          <w:sz w:val="32"/>
          <w:szCs w:val="32"/>
          <w:lang w:val="en-US" w:eastAsia="zh-CN"/>
        </w:rPr>
        <w:t>履约保证金</w:t>
      </w:r>
      <w:r>
        <w:rPr>
          <w:rFonts w:hint="default" w:ascii="黑体" w:hAnsi="黑体" w:eastAsia="黑体" w:cs="Times New Roman"/>
          <w:sz w:val="32"/>
          <w:szCs w:val="32"/>
          <w:lang w:val="en-US" w:eastAsia="zh-CN"/>
        </w:rPr>
        <w:t>费</w:t>
      </w:r>
      <w:r>
        <w:rPr>
          <w:rFonts w:hint="eastAsia" w:ascii="黑体" w:hAnsi="黑体" w:eastAsia="黑体" w:cs="Times New Roman"/>
          <w:sz w:val="32"/>
          <w:szCs w:val="32"/>
          <w:lang w:val="en-US" w:eastAsia="zh-CN"/>
        </w:rPr>
        <w:t>支付方式</w:t>
      </w:r>
    </w:p>
    <w:p w14:paraId="38C7A144">
      <w:pPr>
        <w:spacing w:line="570" w:lineRule="exact"/>
        <w:ind w:firstLine="640" w:firstLineChars="2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在与项目总承包单位签订商品混凝土供应合同前，联合体成员向广投建材提交与项目总承包单位签订合同（含税）金额的5%的不可撤销、见索即付的的履约担保函。联合体成员提供的保证保函（保函应由具有独立法人资格和偿付能力的担保机构出具）有效期至项目出具竣工验收报告后30天内。</w:t>
      </w:r>
    </w:p>
    <w:p w14:paraId="4F3AF885">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六、质量要求</w:t>
      </w:r>
    </w:p>
    <w:p w14:paraId="60A3244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一）进场的材料必须符合国家标准和行业标准及项目总承包单位提出的要求、应符合国家有关环保法律法规的规定以及项目总承包单位IS014000环境体系、项目总承包单位OHSMS18000职业安全健康管理体系标准的要求。材料质量应严格符合工程所需材料质量验收标准、设计、合同及有关工程施工及验收规范的要求。</w:t>
      </w:r>
    </w:p>
    <w:p w14:paraId="323F731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（二）原材料标准</w:t>
      </w:r>
    </w:p>
    <w:p w14:paraId="4AF203C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1.水泥：用于商砼的水泥必须符合现行国家技术标准；</w:t>
      </w:r>
    </w:p>
    <w:p w14:paraId="54CDABD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2.泵送剂：应符合相关规定；</w:t>
      </w:r>
    </w:p>
    <w:p w14:paraId="3E2CD7E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3.砂子、石子(碎石)：应符合相关规定；</w:t>
      </w:r>
    </w:p>
    <w:p w14:paraId="2184E5A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4.掺和料：应符合相关规定；</w:t>
      </w:r>
    </w:p>
    <w:p w14:paraId="25FB022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5.其他材料：用于商砼的其他材料须符合现行国家《规范》与技术标准。</w:t>
      </w:r>
    </w:p>
    <w:p w14:paraId="718FB8D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（三）随产品提供《预拌混凝土配合比报告单》《预拌混凝土发货单》、《预拌混凝土出厂质量证明书》，必要时需对产品进行抽样检查。</w:t>
      </w:r>
    </w:p>
    <w:p w14:paraId="42BFD7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（四）若上述标准不一致的，则执行上述标准中最严格的标准；若上述标准与现行国家标准或行业标准不一致或协议执行过程中若出现新的国家标准及行业标准，则以最新的标准为准。</w:t>
      </w:r>
    </w:p>
    <w:p w14:paraId="4F6EDD3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（五）联合体成员生产、提供的材料必须符合主合同的质量约定。</w:t>
      </w:r>
    </w:p>
    <w:p w14:paraId="367784B2">
      <w:pPr>
        <w:spacing w:line="570" w:lineRule="exact"/>
        <w:ind w:firstLine="640" w:firstLineChars="200"/>
        <w:rPr>
          <w:rFonts w:hint="eastAsia" w:ascii="黑体" w:hAnsi="黑体" w:eastAsia="黑体" w:cs="Times New Roman"/>
          <w:sz w:val="32"/>
          <w:szCs w:val="32"/>
          <w:lang w:val="en-US" w:eastAsia="zh-CN"/>
        </w:rPr>
      </w:pPr>
      <w:r>
        <w:rPr>
          <w:rFonts w:hint="eastAsia" w:ascii="黑体" w:hAnsi="黑体" w:eastAsia="黑体" w:cs="Times New Roman"/>
          <w:sz w:val="32"/>
          <w:szCs w:val="32"/>
          <w:lang w:val="en-US" w:eastAsia="zh-CN"/>
        </w:rPr>
        <w:t>七、质量保证期</w:t>
      </w:r>
    </w:p>
    <w:p w14:paraId="7B1247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联合体成员应按照与主合同中对质量保证期的约定承担相关义务。</w:t>
      </w:r>
    </w:p>
    <w:p w14:paraId="328EA676">
      <w:pPr>
        <w:pStyle w:val="3"/>
      </w:pPr>
      <w:r>
        <w:rPr>
          <w:rFonts w:hint="eastAsia"/>
          <w:lang w:val="en-US" w:eastAsia="zh-CN"/>
        </w:rPr>
        <w:t xml:space="preserve">  </w:t>
      </w:r>
      <w:r>
        <w:rPr>
          <w:rFonts w:hint="eastAsia" w:ascii="黑体" w:hAnsi="黑体" w:eastAsia="黑体" w:cs="Times New Roman"/>
          <w:kern w:val="2"/>
          <w:sz w:val="32"/>
          <w:szCs w:val="32"/>
          <w:lang w:val="en-US" w:eastAsia="zh-CN" w:bidi="ar-SA"/>
        </w:rPr>
        <w:t>八、安全责任</w:t>
      </w:r>
    </w:p>
    <w:p w14:paraId="5A0ED3E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联合体成员</w:t>
      </w:r>
      <w:r>
        <w:rPr>
          <w:rFonts w:hint="default" w:ascii="Times New Roman" w:hAnsi="Times New Roman" w:eastAsia="方正仿宋简体" w:cs="Times New Roman"/>
          <w:sz w:val="32"/>
          <w:szCs w:val="32"/>
          <w:lang w:val="en-US" w:eastAsia="zh-CN"/>
        </w:rPr>
        <w:t>在商品混凝土的生产、运输、卸货等供货全过程中，应严格遵守国家及地方关于安全生产、道路运输、施工现场管理等相关法律法规及规章制度，建立健全安全管理制度，配备必要的安全防护设施和人员，确保作业安全。因</w:t>
      </w:r>
      <w:r>
        <w:rPr>
          <w:rFonts w:hint="eastAsia" w:ascii="Times New Roman" w:hAnsi="Times New Roman" w:eastAsia="方正仿宋简体" w:cs="Times New Roman"/>
          <w:sz w:val="32"/>
          <w:szCs w:val="32"/>
          <w:lang w:val="en-US" w:eastAsia="zh-CN"/>
        </w:rPr>
        <w:t>联合体成员</w:t>
      </w:r>
      <w:r>
        <w:rPr>
          <w:rFonts w:hint="default" w:ascii="Times New Roman" w:hAnsi="Times New Roman" w:eastAsia="方正仿宋简体" w:cs="Times New Roman"/>
          <w:sz w:val="32"/>
          <w:szCs w:val="32"/>
          <w:lang w:val="en-US" w:eastAsia="zh-CN"/>
        </w:rPr>
        <w:t>原因导致发生安全事故（包括但不限于人员伤亡、财产损失等），由</w:t>
      </w:r>
      <w:r>
        <w:rPr>
          <w:rFonts w:hint="eastAsia" w:ascii="Times New Roman" w:hAnsi="Times New Roman" w:eastAsia="方正仿宋简体" w:cs="Times New Roman"/>
          <w:sz w:val="32"/>
          <w:szCs w:val="32"/>
          <w:lang w:val="en-US" w:eastAsia="zh-CN"/>
        </w:rPr>
        <w:t>联合体成员</w:t>
      </w:r>
      <w:r>
        <w:rPr>
          <w:rFonts w:hint="default" w:ascii="Times New Roman" w:hAnsi="Times New Roman" w:eastAsia="方正仿宋简体" w:cs="Times New Roman"/>
          <w:sz w:val="32"/>
          <w:szCs w:val="32"/>
          <w:lang w:val="en-US" w:eastAsia="zh-CN"/>
        </w:rPr>
        <w:t>承担全部责任及相应费用，并赔偿因此给</w:t>
      </w:r>
      <w:r>
        <w:rPr>
          <w:rFonts w:hint="eastAsia" w:ascii="Times New Roman" w:hAnsi="Times New Roman" w:eastAsia="方正仿宋简体" w:cs="Times New Roman"/>
          <w:sz w:val="32"/>
          <w:szCs w:val="32"/>
          <w:lang w:val="en-US" w:eastAsia="zh-CN"/>
        </w:rPr>
        <w:t>广投建材</w:t>
      </w:r>
      <w:r>
        <w:rPr>
          <w:rFonts w:hint="default" w:ascii="Times New Roman" w:hAnsi="Times New Roman" w:eastAsia="方正仿宋简体" w:cs="Times New Roman"/>
          <w:sz w:val="32"/>
          <w:szCs w:val="32"/>
          <w:lang w:val="en-US" w:eastAsia="zh-CN"/>
        </w:rPr>
        <w:t>及</w:t>
      </w:r>
      <w:r>
        <w:rPr>
          <w:rFonts w:hint="eastAsia" w:ascii="Times New Roman" w:hAnsi="Times New Roman" w:eastAsia="方正仿宋简体" w:cs="Times New Roman"/>
          <w:sz w:val="32"/>
          <w:szCs w:val="32"/>
          <w:lang w:val="en-US" w:eastAsia="zh-CN"/>
        </w:rPr>
        <w:t>项目总承包单位</w:t>
      </w:r>
      <w:r>
        <w:rPr>
          <w:rFonts w:hint="default" w:ascii="Times New Roman" w:hAnsi="Times New Roman" w:eastAsia="方正仿宋简体" w:cs="Times New Roman"/>
          <w:sz w:val="32"/>
          <w:szCs w:val="32"/>
          <w:lang w:val="en-US" w:eastAsia="zh-CN"/>
        </w:rPr>
        <w:t>造成的全部损失。</w:t>
      </w:r>
    </w:p>
    <w:p w14:paraId="6B1BD30D">
      <w:pPr>
        <w:spacing w:line="570" w:lineRule="exact"/>
        <w:ind w:firstLine="640" w:firstLineChars="200"/>
        <w:rPr>
          <w:rFonts w:hint="default" w:ascii="Times New Roman" w:hAnsi="Times New Roman" w:eastAsia="方正仿宋简体" w:cs="Times New Roman"/>
          <w:sz w:val="32"/>
          <w:szCs w:val="32"/>
          <w:lang w:val="en-US" w:eastAsia="zh-CN"/>
        </w:rPr>
      </w:pPr>
      <w:r>
        <w:rPr>
          <w:rFonts w:hint="eastAsia" w:ascii="黑体" w:hAnsi="黑体" w:eastAsia="黑体" w:cs="Times New Roman"/>
          <w:sz w:val="32"/>
          <w:szCs w:val="32"/>
          <w:lang w:eastAsia="zh-CN"/>
        </w:rPr>
        <w:t>九</w:t>
      </w:r>
      <w:r>
        <w:rPr>
          <w:rFonts w:ascii="黑体" w:hAnsi="黑体" w:eastAsia="黑体" w:cs="Times New Roman"/>
          <w:sz w:val="32"/>
          <w:szCs w:val="32"/>
        </w:rPr>
        <w:t>、结算与支付</w:t>
      </w:r>
    </w:p>
    <w:p w14:paraId="6ECEBF7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w:t>
      </w:r>
      <w:r>
        <w:rPr>
          <w:rFonts w:hint="default" w:ascii="Times New Roman" w:hAnsi="Times New Roman" w:eastAsia="方正仿宋简体" w:cs="Times New Roman"/>
          <w:sz w:val="32"/>
          <w:szCs w:val="32"/>
          <w:lang w:val="en-US" w:eastAsia="zh-CN"/>
        </w:rPr>
        <w:t>结算：</w:t>
      </w:r>
      <w:r>
        <w:rPr>
          <w:rFonts w:hint="eastAsia" w:ascii="Times New Roman" w:hAnsi="Times New Roman" w:eastAsia="方正仿宋简体" w:cs="Times New Roman"/>
          <w:sz w:val="32"/>
          <w:szCs w:val="32"/>
          <w:lang w:val="en-US" w:eastAsia="zh-CN"/>
        </w:rPr>
        <w:t>广投建材按照主合同约定的结算单价和结算方式与项目总承包单位办理结算</w:t>
      </w:r>
      <w:r>
        <w:rPr>
          <w:rFonts w:hint="default" w:ascii="Times New Roman" w:hAnsi="Times New Roman" w:eastAsia="方正仿宋简体" w:cs="Times New Roman"/>
          <w:sz w:val="32"/>
          <w:szCs w:val="32"/>
          <w:lang w:val="en-US" w:eastAsia="zh-CN"/>
        </w:rPr>
        <w:t>。</w:t>
      </w:r>
    </w:p>
    <w:p w14:paraId="571CA4A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2.广投建材与项目总承包单位办理</w:t>
      </w:r>
      <w:r>
        <w:rPr>
          <w:rFonts w:hint="default" w:ascii="Times New Roman" w:hAnsi="Times New Roman" w:eastAsia="方正仿宋简体" w:cs="Times New Roman"/>
          <w:sz w:val="32"/>
          <w:szCs w:val="32"/>
          <w:lang w:val="en-US" w:eastAsia="zh-CN"/>
        </w:rPr>
        <w:t>结算后，</w:t>
      </w:r>
      <w:r>
        <w:rPr>
          <w:rFonts w:hint="eastAsia" w:ascii="Times New Roman" w:hAnsi="Times New Roman" w:eastAsia="方正仿宋简体" w:cs="Times New Roman"/>
          <w:sz w:val="32"/>
          <w:szCs w:val="32"/>
          <w:lang w:val="en-US" w:eastAsia="zh-CN"/>
        </w:rPr>
        <w:t>广投建材</w:t>
      </w:r>
      <w:r>
        <w:rPr>
          <w:rFonts w:hint="default" w:ascii="Times New Roman" w:hAnsi="Times New Roman" w:eastAsia="方正仿宋简体" w:cs="Times New Roman"/>
          <w:sz w:val="32"/>
          <w:szCs w:val="32"/>
          <w:lang w:val="en-US" w:eastAsia="zh-CN"/>
        </w:rPr>
        <w:t>按</w:t>
      </w:r>
      <w:r>
        <w:rPr>
          <w:rFonts w:hint="eastAsia" w:ascii="Times New Roman" w:hAnsi="Times New Roman" w:eastAsia="方正仿宋简体" w:cs="Times New Roman"/>
          <w:sz w:val="32"/>
          <w:szCs w:val="32"/>
          <w:lang w:val="en-US" w:eastAsia="zh-CN"/>
        </w:rPr>
        <w:t>与项目总承包单位的含税结算金额</w:t>
      </w:r>
      <w:r>
        <w:rPr>
          <w:rFonts w:hint="default" w:ascii="Times New Roman" w:hAnsi="Times New Roman" w:eastAsia="方正仿宋简体" w:cs="Times New Roman"/>
          <w:sz w:val="32"/>
          <w:szCs w:val="32"/>
          <w:lang w:val="en-US" w:eastAsia="zh-CN"/>
        </w:rPr>
        <w:t>，扣除X</w:t>
      </w:r>
      <w:r>
        <w:rPr>
          <w:rFonts w:hint="eastAsia" w:ascii="Times New Roman" w:hAnsi="Times New Roman" w:eastAsia="方正仿宋简体" w:cs="Times New Roman"/>
          <w:sz w:val="32"/>
          <w:szCs w:val="32"/>
          <w:lang w:val="en-US" w:eastAsia="zh-CN"/>
        </w:rPr>
        <w:t>‰</w:t>
      </w:r>
      <w:r>
        <w:rPr>
          <w:rFonts w:hint="default" w:ascii="Times New Roman" w:hAnsi="Times New Roman" w:eastAsia="方正仿宋简体" w:cs="Times New Roman"/>
          <w:sz w:val="32"/>
          <w:szCs w:val="32"/>
          <w:lang w:val="en-US" w:eastAsia="zh-CN"/>
        </w:rPr>
        <w:t>的组织协调费后，向</w:t>
      </w:r>
      <w:r>
        <w:rPr>
          <w:rFonts w:hint="eastAsia" w:ascii="Times New Roman" w:hAnsi="Times New Roman" w:eastAsia="方正仿宋简体" w:cs="Times New Roman"/>
          <w:sz w:val="32"/>
          <w:szCs w:val="32"/>
          <w:lang w:val="en-US" w:eastAsia="zh-CN"/>
        </w:rPr>
        <w:t>联合体成员</w:t>
      </w:r>
      <w:r>
        <w:rPr>
          <w:rFonts w:hint="default" w:ascii="Times New Roman" w:hAnsi="Times New Roman" w:eastAsia="方正仿宋简体" w:cs="Times New Roman"/>
          <w:sz w:val="32"/>
          <w:szCs w:val="32"/>
          <w:lang w:val="en-US" w:eastAsia="zh-CN"/>
        </w:rPr>
        <w:t>支付剩余款项。</w:t>
      </w:r>
    </w:p>
    <w:p w14:paraId="1E58F7C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3.其他支付约定：</w:t>
      </w:r>
    </w:p>
    <w:p w14:paraId="612D0EA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上述各节点支付均需以项目总承包单位按主合同约定向广投建材支付对应款项为前提，若项目总承包单位未按时支付，广投建材向联合体成员支付款项的期限相应顺延（顺延时间与项目总承包单位逾期支付时间一致），广投建材不承担逾期付款责任。</w:t>
      </w:r>
    </w:p>
    <w:p w14:paraId="2E226CC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（2）联合体成员应在广投建材支付前提供对应金额的合法有效发票，否则广投建材有权顺延支付，不承担逾期付款责任。</w:t>
      </w:r>
    </w:p>
    <w:p w14:paraId="6E846F0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（3）应扣款项包括但不限于因联合体成员违约产生的赔偿金、项目总承包单位扣减款项等，该款项由联合体成员自行承担。</w:t>
      </w:r>
    </w:p>
    <w:p w14:paraId="440890E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注：应扣款项在抵扣后，该部分款项仍需参与组织协调费的结算。项目总承包单位支付的</w:t>
      </w:r>
      <w:r>
        <w:rPr>
          <w:rFonts w:hint="eastAsia" w:ascii="Times New Roman" w:hAnsi="Times New Roman" w:eastAsia="方正仿宋简体" w:cs="Times New Roman"/>
          <w:sz w:val="32"/>
          <w:szCs w:val="32"/>
        </w:rPr>
        <w:t>违约金</w:t>
      </w:r>
      <w:r>
        <w:rPr>
          <w:rFonts w:hint="eastAsia" w:ascii="Times New Roman" w:hAnsi="Times New Roman" w:eastAsia="方正仿宋简体" w:cs="Times New Roman"/>
          <w:sz w:val="32"/>
          <w:szCs w:val="32"/>
          <w:lang w:val="en-US" w:eastAsia="zh-CN"/>
        </w:rPr>
        <w:t>需</w:t>
      </w:r>
      <w:r>
        <w:rPr>
          <w:rFonts w:hint="eastAsia" w:ascii="Times New Roman" w:hAnsi="Times New Roman" w:eastAsia="方正仿宋简体" w:cs="Times New Roman"/>
          <w:sz w:val="32"/>
          <w:szCs w:val="32"/>
        </w:rPr>
        <w:t>参与组织协调费用的结算</w:t>
      </w:r>
      <w:r>
        <w:rPr>
          <w:rFonts w:hint="eastAsia" w:ascii="Times New Roman" w:hAnsi="Times New Roman" w:eastAsia="方正仿宋简体" w:cs="Times New Roman"/>
          <w:sz w:val="32"/>
          <w:szCs w:val="32"/>
          <w:lang w:eastAsia="zh-CN"/>
        </w:rPr>
        <w:t>。</w:t>
      </w:r>
    </w:p>
    <w:p w14:paraId="2F2D2BE0">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十</w:t>
      </w:r>
      <w:r>
        <w:rPr>
          <w:rFonts w:ascii="黑体" w:hAnsi="黑体" w:eastAsia="黑体" w:cs="Times New Roman"/>
          <w:sz w:val="32"/>
          <w:szCs w:val="32"/>
        </w:rPr>
        <w:t>、合作期限</w:t>
      </w:r>
    </w:p>
    <w:p w14:paraId="504C5B1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自本协议签订之日起，至本项目缺陷责任期结束且所有款项回收完毕之日止。</w:t>
      </w:r>
    </w:p>
    <w:p w14:paraId="42D77788">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eastAsia="zh-CN"/>
        </w:rPr>
        <w:t>十一</w:t>
      </w:r>
      <w:r>
        <w:rPr>
          <w:rFonts w:ascii="黑体" w:hAnsi="黑体" w:eastAsia="黑体" w:cs="Times New Roman"/>
          <w:sz w:val="32"/>
          <w:szCs w:val="32"/>
        </w:rPr>
        <w:t>、权利义务</w:t>
      </w:r>
    </w:p>
    <w:p w14:paraId="742575F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1.联合体共同对项目总承包单位承担连带责任。若因一方违约导致项目总承包单位索赔，另一方承担责任后，有权向违约方追偿。​</w:t>
      </w:r>
    </w:p>
    <w:p w14:paraId="3E9ABE7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2.广投建材有权要求联合体成员履行供货义务及缴纳组织协调费，有权对联合体成员供货过程进行必要监督。</w:t>
      </w:r>
    </w:p>
    <w:p w14:paraId="750705A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3.联合体成员有权要求广投建材按约定支付款项，有权要求广投建材履行组织协调职责。</w:t>
      </w:r>
    </w:p>
    <w:p w14:paraId="62E5511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4.联合体各方应保守合作过程中知悉的对方商业秘密。</w:t>
      </w:r>
    </w:p>
    <w:p w14:paraId="41DBDF54">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lang w:eastAsia="zh-CN"/>
        </w:rPr>
        <w:t>十二</w:t>
      </w:r>
      <w:r>
        <w:rPr>
          <w:rFonts w:ascii="黑体" w:hAnsi="黑体" w:eastAsia="黑体" w:cs="Times New Roman"/>
          <w:sz w:val="32"/>
          <w:szCs w:val="32"/>
        </w:rPr>
        <w:t>、违约责任</w:t>
      </w:r>
    </w:p>
    <w:p w14:paraId="584BAC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1.广投建材因自身原因不按时支付款项,联合体成员给予广投建材35</w:t>
      </w:r>
      <w:bookmarkStart w:id="0" w:name="_GoBack"/>
      <w:bookmarkEnd w:id="0"/>
      <w:r>
        <w:rPr>
          <w:rFonts w:hint="eastAsia" w:ascii="Times New Roman" w:hAnsi="Times New Roman" w:eastAsia="方正仿宋简体" w:cs="Times New Roman"/>
          <w:sz w:val="32"/>
          <w:szCs w:val="32"/>
          <w:lang w:val="en-US" w:eastAsia="zh-CN"/>
        </w:rPr>
        <w:t>天宽限期，宽限期届满仍未付款的，则以逾期未付本金金额为基础按照同期1</w:t>
      </w:r>
      <w:r>
        <w:rPr>
          <w:rFonts w:hint="eastAsia" w:ascii="Times New Roman" w:hAnsi="Times New Roman" w:eastAsia="方正仿宋简体" w:cs="Times New Roman"/>
          <w:sz w:val="32"/>
          <w:szCs w:val="32"/>
          <w:lang w:val="en-US" w:eastAsia="zh-Hans"/>
        </w:rPr>
        <w:t>年期贷款市场报价</w:t>
      </w:r>
      <w:r>
        <w:rPr>
          <w:rFonts w:hint="eastAsia" w:ascii="Times New Roman" w:hAnsi="Times New Roman" w:eastAsia="方正仿宋简体" w:cs="Times New Roman"/>
          <w:sz w:val="32"/>
          <w:szCs w:val="32"/>
          <w:lang w:val="en-US" w:eastAsia="zh-CN"/>
        </w:rPr>
        <w:t>利率承担违约金（宽限期不计违约金）。</w:t>
      </w:r>
    </w:p>
    <w:p w14:paraId="33C45C0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color w:val="FF0000"/>
          <w:sz w:val="32"/>
          <w:szCs w:val="32"/>
          <w:lang w:val="en-US" w:eastAsia="zh-CN"/>
        </w:rPr>
      </w:pPr>
      <w:r>
        <w:rPr>
          <w:rFonts w:hint="eastAsia" w:ascii="Times New Roman" w:hAnsi="Times New Roman" w:eastAsia="方正仿宋简体" w:cs="Times New Roman"/>
          <w:sz w:val="32"/>
          <w:szCs w:val="32"/>
          <w:lang w:val="en-US" w:eastAsia="zh-CN"/>
        </w:rPr>
        <w:t>2.在广投建材支付欠付款项的当天，联合体成员未书面主张该欠付款项违约金的，则视为联合体成员放弃要求广投建材承担因欠付款项产生的违约责任。</w:t>
      </w:r>
    </w:p>
    <w:p w14:paraId="5C5D46C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3.联合体成员应当与广投建材共同按照主合同约定向项目总承包单位书面主张欠付款的违约金，否则由此导致项目总承包单位不承担违约金的，由联合体成员自行承担损失</w:t>
      </w:r>
      <w:r>
        <w:rPr>
          <w:rFonts w:hint="eastAsia" w:ascii="Times New Roman" w:hAnsi="Times New Roman" w:eastAsia="方正仿宋简体" w:cs="Times New Roman"/>
          <w:color w:val="FF0000"/>
          <w:sz w:val="32"/>
          <w:szCs w:val="32"/>
          <w:lang w:val="en-US" w:eastAsia="zh-CN"/>
        </w:rPr>
        <w:t>。</w:t>
      </w:r>
    </w:p>
    <w:p w14:paraId="619EC50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4.若联合体成员未配合项目总承包单位抽检，或出现亏方等问题导致结算金额减少的，相关损失由联合体成员承担。</w:t>
      </w:r>
    </w:p>
    <w:p w14:paraId="69BBE76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5.联合体成员生产、供应的商品混凝土存在质量问题或不符合主合同要求的，由联合体成员承担赔偿责任。若后续权利人向广投建材主张赔偿的，广投建材有权向联合体成员追偿。</w:t>
      </w:r>
    </w:p>
    <w:p w14:paraId="7507B05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6.联合体成员应负责商品混凝土供应期间的安全责任，若供应过程中造成人员伤亡或财产损失，由联合体成员承担赔偿责任。若后续权利人向广投建材主张赔偿的，广投建材有权向联合体成员追偿。</w:t>
      </w:r>
    </w:p>
    <w:p w14:paraId="7D71D02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7.任何一方违反本协议其他约定，给对方造成损失的，应赔偿对方直接损失。</w:t>
      </w:r>
    </w:p>
    <w:p w14:paraId="1ADC048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8.联合体成员违约的，除按本协议约定承担违约责任外，还应承担广投建材为维护自身权利而产生的费用（包括但不限于案件受理费、保全费、保全保险费、律师费、差旅费、鉴定费、评估费、公告费等）。</w:t>
      </w:r>
    </w:p>
    <w:p w14:paraId="7F788B2F">
      <w:pPr>
        <w:spacing w:line="570" w:lineRule="exact"/>
        <w:ind w:firstLine="640" w:firstLineChars="200"/>
        <w:rPr>
          <w:rFonts w:ascii="Times New Roman" w:hAnsi="Times New Roman" w:eastAsia="仿宋_GB2312" w:cs="Times New Roman"/>
          <w:sz w:val="32"/>
          <w:szCs w:val="32"/>
        </w:rPr>
      </w:pPr>
      <w:r>
        <w:rPr>
          <w:rFonts w:hint="eastAsia" w:ascii="黑体" w:hAnsi="黑体" w:eastAsia="黑体" w:cs="Times New Roman"/>
          <w:sz w:val="32"/>
          <w:szCs w:val="32"/>
          <w:lang w:eastAsia="zh-CN"/>
        </w:rPr>
        <w:t>十三</w:t>
      </w:r>
      <w:r>
        <w:rPr>
          <w:rFonts w:ascii="黑体" w:hAnsi="黑体" w:eastAsia="黑体" w:cs="Times New Roman"/>
          <w:sz w:val="32"/>
          <w:szCs w:val="32"/>
        </w:rPr>
        <w:t>、争议解决</w:t>
      </w:r>
    </w:p>
    <w:p w14:paraId="4434E40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因本协议引起的或与本协议有关的争议，广投建材与联合体成员双方应首先协商解决；协商不成的，任何一方均有权向广投建材所在地有管辖权的人民法院提起诉讼。</w:t>
      </w:r>
    </w:p>
    <w:p w14:paraId="563AE2A1">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十</w:t>
      </w:r>
      <w:r>
        <w:rPr>
          <w:rFonts w:hint="eastAsia" w:ascii="黑体" w:hAnsi="黑体" w:eastAsia="黑体" w:cs="Times New Roman"/>
          <w:sz w:val="32"/>
          <w:szCs w:val="32"/>
          <w:lang w:eastAsia="zh-CN"/>
        </w:rPr>
        <w:t>四</w:t>
      </w:r>
      <w:r>
        <w:rPr>
          <w:rFonts w:ascii="黑体" w:hAnsi="黑体" w:eastAsia="黑体" w:cs="Times New Roman"/>
          <w:sz w:val="32"/>
          <w:szCs w:val="32"/>
        </w:rPr>
        <w:t>、其他</w:t>
      </w:r>
    </w:p>
    <w:p w14:paraId="679EDEF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1.本协议未尽事宜，由双方另行协商签订补充协议，补充协议与本协议具有同等法律效力。</w:t>
      </w:r>
    </w:p>
    <w:p w14:paraId="581C40C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2.本协议附件（包括组织协调费系数确认函等）为本协议不可分割的组成部分，与本协议具有同等法律效力。</w:t>
      </w:r>
    </w:p>
    <w:p w14:paraId="27BC010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3.本协议自成立之日起生效。</w:t>
      </w:r>
    </w:p>
    <w:p w14:paraId="7A83C59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4.本协议一式柒份，甲方肆份，乙方各执贰份，具有同等法律效力。</w:t>
      </w:r>
    </w:p>
    <w:p w14:paraId="2677DB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163E1B01">
      <w:pPr>
        <w:spacing w:line="570" w:lineRule="exact"/>
        <w:ind w:firstLine="640" w:firstLineChars="200"/>
        <w:rPr>
          <w:rFonts w:hint="eastAsia" w:ascii="Times New Roman" w:hAnsi="Times New Roman" w:eastAsia="仿宋_GB2312" w:cs="Times New Roman"/>
          <w:sz w:val="32"/>
          <w:szCs w:val="32"/>
        </w:rPr>
      </w:pPr>
    </w:p>
    <w:p w14:paraId="38387BCA">
      <w:pPr>
        <w:spacing w:line="570" w:lineRule="exact"/>
        <w:rPr>
          <w:rFonts w:hint="eastAsia" w:ascii="Times New Roman" w:hAnsi="Times New Roman" w:eastAsia="仿宋_GB2312" w:cs="Times New Roman"/>
          <w:sz w:val="32"/>
          <w:szCs w:val="32"/>
        </w:rPr>
      </w:pPr>
    </w:p>
    <w:p w14:paraId="4EBAF999">
      <w:pPr>
        <w:spacing w:line="570" w:lineRule="exact"/>
        <w:rPr>
          <w:rFonts w:hint="eastAsia" w:ascii="Times New Roman" w:hAnsi="Times New Roman" w:eastAsia="仿宋_GB2312" w:cs="Times New Roman"/>
          <w:sz w:val="32"/>
          <w:szCs w:val="32"/>
        </w:rPr>
      </w:pPr>
    </w:p>
    <w:p w14:paraId="190D5716">
      <w:pPr>
        <w:spacing w:line="570" w:lineRule="exact"/>
        <w:rPr>
          <w:rFonts w:hint="eastAsia" w:ascii="Times New Roman" w:hAnsi="Times New Roman" w:eastAsia="仿宋_GB2312" w:cs="Times New Roman"/>
          <w:sz w:val="32"/>
          <w:szCs w:val="32"/>
        </w:rPr>
      </w:pPr>
    </w:p>
    <w:p w14:paraId="5F0D4866">
      <w:pPr>
        <w:spacing w:line="570" w:lineRule="exact"/>
        <w:rPr>
          <w:rFonts w:hint="eastAsia" w:ascii="Times New Roman" w:hAnsi="Times New Roman" w:eastAsia="仿宋_GB2312" w:cs="Times New Roman"/>
          <w:sz w:val="32"/>
          <w:szCs w:val="32"/>
        </w:rPr>
      </w:pPr>
    </w:p>
    <w:p w14:paraId="5D07B486">
      <w:pPr>
        <w:spacing w:line="570" w:lineRule="exact"/>
        <w:rPr>
          <w:rFonts w:hint="eastAsia" w:ascii="Times New Roman" w:hAnsi="Times New Roman" w:eastAsia="仿宋_GB2312" w:cs="Times New Roman"/>
          <w:sz w:val="32"/>
          <w:szCs w:val="32"/>
        </w:rPr>
      </w:pPr>
    </w:p>
    <w:p w14:paraId="41636B20">
      <w:pPr>
        <w:spacing w:line="570" w:lineRule="exact"/>
        <w:rPr>
          <w:rFonts w:hint="eastAsia" w:ascii="Times New Roman" w:hAnsi="Times New Roman" w:eastAsia="仿宋_GB2312" w:cs="Times New Roman"/>
          <w:sz w:val="32"/>
          <w:szCs w:val="32"/>
        </w:rPr>
      </w:pPr>
    </w:p>
    <w:p w14:paraId="78412D4C">
      <w:pPr>
        <w:spacing w:line="570" w:lineRule="exact"/>
        <w:rPr>
          <w:rFonts w:hint="eastAsia" w:ascii="Times New Roman" w:hAnsi="Times New Roman" w:eastAsia="仿宋_GB2312" w:cs="Times New Roman"/>
          <w:sz w:val="32"/>
          <w:szCs w:val="32"/>
        </w:rPr>
      </w:pPr>
    </w:p>
    <w:p w14:paraId="3A15A6F0">
      <w:pPr>
        <w:spacing w:line="570" w:lineRule="exact"/>
        <w:rPr>
          <w:rFonts w:hint="eastAsia" w:ascii="Times New Roman" w:hAnsi="Times New Roman" w:eastAsia="仿宋_GB2312" w:cs="Times New Roman"/>
          <w:sz w:val="32"/>
          <w:szCs w:val="32"/>
        </w:rPr>
      </w:pPr>
    </w:p>
    <w:p w14:paraId="11E9F79E">
      <w:pPr>
        <w:spacing w:line="570" w:lineRule="exact"/>
        <w:rPr>
          <w:rFonts w:hint="eastAsia" w:ascii="Times New Roman" w:hAnsi="Times New Roman" w:eastAsia="仿宋_GB2312" w:cs="Times New Roman"/>
          <w:sz w:val="32"/>
          <w:szCs w:val="32"/>
        </w:rPr>
      </w:pPr>
    </w:p>
    <w:p w14:paraId="40D02F1D">
      <w:pPr>
        <w:spacing w:line="570" w:lineRule="exact"/>
        <w:rPr>
          <w:rFonts w:ascii="Times New Roman" w:hAnsi="Times New Roman" w:eastAsia="仿宋_GB2312" w:cs="Times New Roman"/>
          <w:sz w:val="32"/>
          <w:szCs w:val="32"/>
        </w:rPr>
      </w:pPr>
    </w:p>
    <w:p w14:paraId="0A74FCAA">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甲方（盖章）：广汉市广投建材有限公司</w:t>
      </w:r>
    </w:p>
    <w:p w14:paraId="1CF3388D">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方正仿宋简体" w:cs="Times New Roman"/>
          <w:sz w:val="32"/>
          <w:szCs w:val="32"/>
          <w:lang w:val="en-US" w:eastAsia="zh-CN"/>
        </w:rPr>
      </w:pPr>
    </w:p>
    <w:p w14:paraId="2EFC1BD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 / 授权代表人（签字）：王瀚坤</w:t>
      </w:r>
    </w:p>
    <w:p w14:paraId="1AF6D5F6">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方正仿宋简体" w:cs="Times New Roman"/>
          <w:sz w:val="32"/>
          <w:szCs w:val="32"/>
          <w:lang w:val="en-US" w:eastAsia="zh-CN"/>
        </w:rPr>
      </w:pPr>
    </w:p>
    <w:p w14:paraId="38D7BB3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日期： 年 月 日</w:t>
      </w:r>
    </w:p>
    <w:p w14:paraId="1CACF5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简体" w:cs="Times New Roman"/>
          <w:sz w:val="32"/>
          <w:szCs w:val="32"/>
          <w:lang w:val="en-US" w:eastAsia="zh-CN"/>
        </w:rPr>
      </w:pPr>
    </w:p>
    <w:p w14:paraId="5982DEA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乙方（盖章）：</w:t>
      </w:r>
    </w:p>
    <w:p w14:paraId="6AEB35CA">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p>
    <w:p w14:paraId="32BD3CC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法定代表人 / 授权代表人（签字）：</w:t>
      </w:r>
    </w:p>
    <w:p w14:paraId="36E7674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p>
    <w:p w14:paraId="1DAFF62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日期： 年 月 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93F51C-7128-422F-912B-DB51AF0D59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D5329E26-4CB5-4507-8E32-08FABF4897BE}"/>
  </w:font>
  <w:font w:name="方正仿宋简体">
    <w:panose1 w:val="03000509000000000000"/>
    <w:charset w:val="86"/>
    <w:family w:val="auto"/>
    <w:pitch w:val="default"/>
    <w:sig w:usb0="00000001" w:usb1="080E0000" w:usb2="00000000" w:usb3="00000000" w:csb0="00040000" w:csb1="00000000"/>
    <w:embedRegular r:id="rId3" w:fontKey="{6BB5C7E0-E4B1-436F-842D-93B8E2B9850E}"/>
  </w:font>
  <w:font w:name="方正仿宋_GB2312">
    <w:panose1 w:val="02000000000000000000"/>
    <w:charset w:val="86"/>
    <w:family w:val="auto"/>
    <w:pitch w:val="default"/>
    <w:sig w:usb0="A00002BF" w:usb1="184F6CFA" w:usb2="00000012" w:usb3="00000000" w:csb0="00040001" w:csb1="00000000"/>
    <w:embedRegular r:id="rId4" w:fontKey="{B3691A78-11B6-4D68-B714-B6DBE0D75295}"/>
  </w:font>
  <w:font w:name="仿宋_GB2312">
    <w:panose1 w:val="02010609030101010101"/>
    <w:charset w:val="86"/>
    <w:family w:val="modern"/>
    <w:pitch w:val="default"/>
    <w:sig w:usb0="00000001" w:usb1="080E0000" w:usb2="00000000" w:usb3="00000000" w:csb0="00040000" w:csb1="00000000"/>
    <w:embedRegular r:id="rId5" w:fontKey="{DB6F6281-7BC7-4222-9FAE-0E0B3EB33FE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00734A75"/>
    <w:rsid w:val="000D0F70"/>
    <w:rsid w:val="001D6CC1"/>
    <w:rsid w:val="00305CE7"/>
    <w:rsid w:val="00402EAC"/>
    <w:rsid w:val="00451B08"/>
    <w:rsid w:val="004C6B83"/>
    <w:rsid w:val="00553E01"/>
    <w:rsid w:val="0068473A"/>
    <w:rsid w:val="00734A75"/>
    <w:rsid w:val="008C42D6"/>
    <w:rsid w:val="008F7471"/>
    <w:rsid w:val="009F27EE"/>
    <w:rsid w:val="00B75966"/>
    <w:rsid w:val="00B816E8"/>
    <w:rsid w:val="00BA6BC4"/>
    <w:rsid w:val="00CD7543"/>
    <w:rsid w:val="00ED48D9"/>
    <w:rsid w:val="00F76C8E"/>
    <w:rsid w:val="00FA6B31"/>
    <w:rsid w:val="00FC4289"/>
    <w:rsid w:val="00FF55BD"/>
    <w:rsid w:val="02891F38"/>
    <w:rsid w:val="04FA780B"/>
    <w:rsid w:val="0B7725D7"/>
    <w:rsid w:val="108A4D13"/>
    <w:rsid w:val="10BE27F4"/>
    <w:rsid w:val="11045D83"/>
    <w:rsid w:val="113F4412"/>
    <w:rsid w:val="14560A00"/>
    <w:rsid w:val="14E31122"/>
    <w:rsid w:val="171E28E6"/>
    <w:rsid w:val="1844012A"/>
    <w:rsid w:val="192F35AC"/>
    <w:rsid w:val="196A3BC0"/>
    <w:rsid w:val="1FB75686"/>
    <w:rsid w:val="20937EA1"/>
    <w:rsid w:val="216E446A"/>
    <w:rsid w:val="22145F40"/>
    <w:rsid w:val="22F3177B"/>
    <w:rsid w:val="23C6233B"/>
    <w:rsid w:val="251F274C"/>
    <w:rsid w:val="25555770"/>
    <w:rsid w:val="2DC74BDD"/>
    <w:rsid w:val="312E1520"/>
    <w:rsid w:val="31CA1248"/>
    <w:rsid w:val="32F674CA"/>
    <w:rsid w:val="36267566"/>
    <w:rsid w:val="383F19C0"/>
    <w:rsid w:val="3AE35129"/>
    <w:rsid w:val="3B135A0E"/>
    <w:rsid w:val="3C6C5531"/>
    <w:rsid w:val="3FC60441"/>
    <w:rsid w:val="407D3723"/>
    <w:rsid w:val="40B24B33"/>
    <w:rsid w:val="44FB7D48"/>
    <w:rsid w:val="45B1127B"/>
    <w:rsid w:val="46A95479"/>
    <w:rsid w:val="479E0EFA"/>
    <w:rsid w:val="495042D1"/>
    <w:rsid w:val="4A2758B7"/>
    <w:rsid w:val="4F49209A"/>
    <w:rsid w:val="4FB01626"/>
    <w:rsid w:val="506F14E1"/>
    <w:rsid w:val="51426BF5"/>
    <w:rsid w:val="52BE32B6"/>
    <w:rsid w:val="53AC2AD6"/>
    <w:rsid w:val="549B5733"/>
    <w:rsid w:val="58B331A5"/>
    <w:rsid w:val="591C391B"/>
    <w:rsid w:val="59A73A9A"/>
    <w:rsid w:val="5A723CDE"/>
    <w:rsid w:val="5B797281"/>
    <w:rsid w:val="636E127F"/>
    <w:rsid w:val="63B25B63"/>
    <w:rsid w:val="65442AE4"/>
    <w:rsid w:val="67BD7603"/>
    <w:rsid w:val="680F602D"/>
    <w:rsid w:val="68C55BB5"/>
    <w:rsid w:val="6ADC76C0"/>
    <w:rsid w:val="6BC85D7F"/>
    <w:rsid w:val="6BF61418"/>
    <w:rsid w:val="6F6A59D6"/>
    <w:rsid w:val="750D2EF3"/>
    <w:rsid w:val="785901FD"/>
    <w:rsid w:val="7D5E0064"/>
    <w:rsid w:val="7FDF3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next w:val="1"/>
    <w:qFormat/>
    <w:uiPriority w:val="0"/>
    <w:pPr>
      <w:spacing w:line="360" w:lineRule="auto"/>
    </w:pPr>
    <w:rPr>
      <w:rFonts w:ascii="Wingdings" w:hAnsi="Wingdings"/>
      <w:sz w:val="2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rPr>
  </w:style>
  <w:style w:type="character" w:customStyle="1" w:styleId="9">
    <w:name w:val="lb"/>
    <w:basedOn w:val="7"/>
    <w:qFormat/>
    <w:uiPriority w:val="0"/>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3421</Words>
  <Characters>3517</Characters>
  <Lines>21</Lines>
  <Paragraphs>6</Paragraphs>
  <TotalTime>0</TotalTime>
  <ScaleCrop>false</ScaleCrop>
  <LinksUpToDate>false</LinksUpToDate>
  <CharactersWithSpaces>3528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2025-07-24T13:10:00Z</dcterms:created>
  <dc:creator>ASUS</dc:creator>
  <cp:lastModifiedBy>Administrator</cp:lastModifiedBy>
  <cp:lastPrinted>2026-05-22T06:30:00Z</cp:lastPrinted>
  <dcterms:modified xsi:type="dcterms:W3CDTF">2026-05-22T08:01:04Z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7D176FF9CAA044D1ABA46468510B39C0_13</vt:lpwstr>
  </property>
  <property fmtid="{D5CDD505-2E9C-101B-9397-08002B2CF9AE}" pid="4" name="KSOTemplateDocerSaveRecord">
    <vt:lpwstr>eyJoZGlkIjoiMmRkYTJjZWU3YWMxYzU5MjdkY2FmMjY5NjhhMWY0NDUiLCJ1c2VySWQiOiIxMjY3NjM3MTMwIn0=</vt:lpwstr>
  </property>
</Properties>
</file>