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9C4F10">
      <w:pPr>
        <w:spacing w:line="570" w:lineRule="exact"/>
        <w:jc w:val="center"/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  <w:lang w:eastAsia="zh-CN"/>
        </w:rPr>
        <w:t>广汉市</w:t>
      </w:r>
      <w:r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  <w:lang w:val="en-US" w:eastAsia="zh-CN"/>
        </w:rPr>
        <w:t>弘源建设发展有限公司</w:t>
      </w:r>
    </w:p>
    <w:p w14:paraId="746B4B16">
      <w:pPr>
        <w:spacing w:line="570" w:lineRule="exact"/>
        <w:jc w:val="center"/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  <w:lang w:eastAsia="zh-CN"/>
        </w:rPr>
      </w:pPr>
      <w:r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  <w:lang w:eastAsia="zh-CN"/>
        </w:rPr>
        <w:t>关于</w:t>
      </w:r>
      <w:bookmarkStart w:id="0" w:name="OLE_LINK18"/>
      <w:r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  <w:lang w:val="en-US" w:eastAsia="zh-CN"/>
        </w:rPr>
        <w:t>采购</w:t>
      </w:r>
      <w:r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  <w:lang w:eastAsia="zh-CN"/>
        </w:rPr>
        <w:t>广汉市城市更新广青融合发展区</w:t>
      </w:r>
    </w:p>
    <w:p w14:paraId="3660CCDA">
      <w:pPr>
        <w:spacing w:line="570" w:lineRule="exact"/>
        <w:jc w:val="center"/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  <w:lang w:eastAsia="zh-CN"/>
        </w:rPr>
      </w:pPr>
      <w:r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  <w:lang w:eastAsia="zh-CN"/>
        </w:rPr>
        <w:t>城中村改造项目土石方机械租赁服务</w:t>
      </w:r>
    </w:p>
    <w:p w14:paraId="02ECA7A0">
      <w:pPr>
        <w:spacing w:line="570" w:lineRule="exact"/>
        <w:jc w:val="center"/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  <w:lang w:eastAsia="zh-CN"/>
        </w:rPr>
      </w:pPr>
      <w:r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  <w:lang w:eastAsia="zh-CN"/>
        </w:rPr>
        <w:t>的</w:t>
      </w:r>
      <w:bookmarkEnd w:id="0"/>
      <w:r>
        <w:rPr>
          <w:rFonts w:hint="eastAsia" w:ascii="方正小标宋简体" w:hAnsi="方正小标宋简体" w:eastAsia="方正小标宋简体" w:cs="方正仿宋简体"/>
          <w:color w:val="000000"/>
          <w:kern w:val="0"/>
          <w:sz w:val="44"/>
          <w:szCs w:val="44"/>
          <w:shd w:val="clear" w:color="auto" w:fill="FFFFFF"/>
          <w:lang w:eastAsia="zh-CN"/>
        </w:rPr>
        <w:t>询价公告</w:t>
      </w:r>
    </w:p>
    <w:p w14:paraId="00B27512">
      <w:pPr>
        <w:spacing w:line="570" w:lineRule="exact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</w:rPr>
      </w:pPr>
    </w:p>
    <w:p w14:paraId="33F49AAD">
      <w:pPr>
        <w:spacing w:line="54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bookmarkStart w:id="1" w:name="OLE_LINK1"/>
      <w:r>
        <w:rPr>
          <w:rFonts w:hint="default" w:ascii="Times New Roman" w:hAnsi="Times New Roman" w:eastAsia="仿宋_GB2312" w:cs="Times New Roman"/>
          <w:sz w:val="32"/>
          <w:szCs w:val="32"/>
        </w:rPr>
        <w:t>为满足公司业务开展需求，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广汉市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弘源建设发展有限公司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就采购土石方挖装及运输服务事项，现诚邀符合资质条件的服务商参与本次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土石方机械租赁服务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的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询价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事宜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bookmarkEnd w:id="1"/>
    <w:p w14:paraId="52AA2014">
      <w:pPr>
        <w:spacing w:line="54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</w:t>
      </w:r>
      <w:r>
        <w:rPr>
          <w:rFonts w:hint="eastAsia" w:eastAsia="黑体" w:cs="Times New Roman"/>
          <w:sz w:val="32"/>
          <w:szCs w:val="32"/>
          <w:lang w:val="en-US" w:eastAsia="zh-CN"/>
        </w:rPr>
        <w:t>询价</w:t>
      </w:r>
      <w:r>
        <w:rPr>
          <w:rFonts w:hint="default" w:ascii="Times New Roman" w:hAnsi="Times New Roman" w:eastAsia="黑体" w:cs="Times New Roman"/>
          <w:sz w:val="32"/>
          <w:szCs w:val="32"/>
        </w:rPr>
        <w:t>事项：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广汉市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弘源建设发展有限公司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关于采购土石方机械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租赁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服务事项。</w:t>
      </w:r>
    </w:p>
    <w:p w14:paraId="0632A1AD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</w:t>
      </w:r>
      <w:r>
        <w:rPr>
          <w:rFonts w:hint="eastAsia" w:eastAsia="黑体" w:cs="Times New Roman"/>
          <w:sz w:val="32"/>
          <w:szCs w:val="32"/>
          <w:lang w:val="en-US" w:eastAsia="zh-CN"/>
        </w:rPr>
        <w:t>询价</w:t>
      </w:r>
      <w:r>
        <w:rPr>
          <w:rFonts w:hint="default" w:ascii="Times New Roman" w:hAnsi="Times New Roman" w:eastAsia="黑体" w:cs="Times New Roman"/>
          <w:sz w:val="32"/>
          <w:szCs w:val="32"/>
        </w:rPr>
        <w:t>事项概况：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本次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询价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主要针对挖装土石方服务（数量</w:t>
      </w:r>
      <w:bookmarkStart w:id="2" w:name="OLE_LINK7"/>
      <w:bookmarkStart w:id="3" w:name="OLE_LINK5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暂定</w:t>
      </w:r>
      <w:bookmarkEnd w:id="2"/>
      <w:bookmarkEnd w:id="3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139038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方）、</w:t>
      </w:r>
      <w:bookmarkStart w:id="4" w:name="OLE_LINK9"/>
      <w:r>
        <w:rPr>
          <w:rFonts w:hint="default" w:ascii="Times New Roman" w:hAnsi="Times New Roman" w:eastAsia="仿宋_GB2312" w:cs="Times New Roman"/>
          <w:sz w:val="32"/>
          <w:szCs w:val="32"/>
        </w:rPr>
        <w:t>土石转运服务（运距1KM以内；数量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暂定16038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方）</w:t>
      </w:r>
      <w:bookmarkEnd w:id="4"/>
      <w:r>
        <w:rPr>
          <w:rFonts w:hint="default" w:ascii="Times New Roman" w:hAnsi="Times New Roman" w:eastAsia="仿宋_GB2312" w:cs="Times New Roman"/>
          <w:sz w:val="32"/>
          <w:szCs w:val="32"/>
        </w:rPr>
        <w:t>、回填方服务（内含1KM范围内取土装运；数量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暂定42000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方）及回填方运输每增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减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1km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数量暂定144152方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的市场综合单价、服务内容、服务周期及服务要求等情况进行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采购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 w14:paraId="54F77F68">
      <w:pPr>
        <w:spacing w:line="54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三、服务范围与内容</w:t>
      </w:r>
    </w:p>
    <w:p w14:paraId="1AD24743">
      <w:pPr>
        <w:spacing w:line="540" w:lineRule="exact"/>
        <w:ind w:firstLine="640" w:firstLineChars="200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（一）挖装土石方（</w:t>
      </w: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暂定139038</w:t>
      </w:r>
      <w:r>
        <w:rPr>
          <w:rFonts w:hint="default" w:ascii="Times New Roman" w:hAnsi="Times New Roman" w:eastAsia="楷体_GB2312" w:cs="Times New Roman"/>
          <w:sz w:val="32"/>
          <w:szCs w:val="32"/>
        </w:rPr>
        <w:t>方）</w:t>
      </w:r>
    </w:p>
    <w:p w14:paraId="6677C14D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1.土石方类别、深度、场地内运距及挖装方式均综合考虑。</w:t>
      </w:r>
    </w:p>
    <w:p w14:paraId="01CA25FD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2.涉及大开挖、基坑、沟槽、排水沟等部位，需综合考虑修边整形、场地平整及机械进出场费，场地外土石方转运及场外转运堆场另列。</w:t>
      </w:r>
    </w:p>
    <w:p w14:paraId="25D30C2F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3.开挖后对周边管线、建筑物、道路的监测及维护费用，以及桩间挖土方均综合考虑在综合单价中。</w:t>
      </w:r>
    </w:p>
    <w:p w14:paraId="7226CF9E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4.</w:t>
      </w:r>
      <w:bookmarkStart w:id="5" w:name="OLE_LINK10"/>
      <w:bookmarkStart w:id="6" w:name="OLE_LINK11"/>
      <w:r>
        <w:rPr>
          <w:rFonts w:hint="default" w:ascii="Times New Roman" w:hAnsi="Times New Roman" w:eastAsia="仿宋_GB2312" w:cs="Times New Roman"/>
          <w:sz w:val="32"/>
          <w:szCs w:val="32"/>
        </w:rPr>
        <w:t>需满足相关标准、规范及招标文件要求，土石方挖装体积按挖掘前的天然密实体积计算。</w:t>
      </w:r>
      <w:bookmarkEnd w:id="5"/>
      <w:bookmarkEnd w:id="6"/>
    </w:p>
    <w:p w14:paraId="0F602A61">
      <w:pPr>
        <w:spacing w:line="540" w:lineRule="exact"/>
        <w:ind w:firstLine="640" w:firstLineChars="200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（二）土石转运服务（运距1KM以内；数量</w:t>
      </w: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暂定16038</w:t>
      </w:r>
      <w:r>
        <w:rPr>
          <w:rFonts w:hint="default" w:ascii="Times New Roman" w:hAnsi="Times New Roman" w:eastAsia="楷体_GB2312" w:cs="Times New Roman"/>
          <w:sz w:val="32"/>
          <w:szCs w:val="32"/>
        </w:rPr>
        <w:t>方）</w:t>
      </w:r>
    </w:p>
    <w:p w14:paraId="7956ED0B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1.运距1km以内（四舍五入取整，按暂定堆场预估，结算以实际为准，综合单价按每增减运距调整，综合考虑在本综合单价中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堆场费综合考虑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）。</w:t>
      </w:r>
    </w:p>
    <w:p w14:paraId="708524B0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2.需满足相关标准、规范及招标文件要求，土石方挖装体积按挖掘前的天然密实体积计算。</w:t>
      </w:r>
    </w:p>
    <w:p w14:paraId="60991CDF">
      <w:pPr>
        <w:spacing w:line="540" w:lineRule="exact"/>
        <w:ind w:firstLine="640" w:firstLineChars="200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（三）回填方（内含1KM范围内取土装运，数量</w:t>
      </w: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暂定42000</w:t>
      </w:r>
      <w:r>
        <w:rPr>
          <w:rFonts w:hint="default" w:ascii="Times New Roman" w:hAnsi="Times New Roman" w:eastAsia="楷体_GB2312" w:cs="Times New Roman"/>
          <w:sz w:val="32"/>
          <w:szCs w:val="32"/>
        </w:rPr>
        <w:t>方）</w:t>
      </w:r>
    </w:p>
    <w:p w14:paraId="3B734BE2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1.回填土需分层夯实，夯实系数综合，边角处须补夯密实，填方材料品种满足规范要求。</w:t>
      </w:r>
    </w:p>
    <w:p w14:paraId="0A1DF396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2.从指定堆土场取土，土石比例综合，含1KM范围内取土装运（运距按暂定堆场预估，结算以实际为准，综合单价按每增减运距调整，且综合考虑在本综合单价中）。</w:t>
      </w:r>
    </w:p>
    <w:p w14:paraId="06113157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3.场内外运输、摊铺、压实、夯填、平整等费用及机械进出场费综合考虑在综合单价中，回填方式及涉及侧壁、基坑、基槽等部位综合考虑。</w:t>
      </w:r>
    </w:p>
    <w:p w14:paraId="22D3F5D7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4.报价方应根据自身专业知识和技术能力，结合地勘报告及现场实际情况，在满足设计及相关要求的前提下综合考虑回填用土的调配、平衡，回填土场内外运输、堆放。</w:t>
      </w:r>
    </w:p>
    <w:p w14:paraId="6339C5BC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5.需满足设计等相关要求，土石方回填按回填后的竣工（设计）体积计算。</w:t>
      </w:r>
    </w:p>
    <w:p w14:paraId="6AEE17C9">
      <w:pPr>
        <w:spacing w:line="540" w:lineRule="exact"/>
        <w:ind w:firstLine="640" w:firstLineChars="200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（四）回填方运输（每增</w:t>
      </w: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减</w:t>
      </w:r>
      <w:r>
        <w:rPr>
          <w:rFonts w:hint="default" w:ascii="Times New Roman" w:hAnsi="Times New Roman" w:eastAsia="楷体_GB2312" w:cs="Times New Roman"/>
          <w:sz w:val="32"/>
          <w:szCs w:val="32"/>
        </w:rPr>
        <w:t>1km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数量暂定144152方</w:t>
      </w:r>
      <w:r>
        <w:rPr>
          <w:rFonts w:hint="default" w:ascii="Times New Roman" w:hAnsi="Times New Roman" w:eastAsia="楷体_GB2312" w:cs="Times New Roman"/>
          <w:sz w:val="32"/>
          <w:szCs w:val="32"/>
        </w:rPr>
        <w:t>）</w:t>
      </w:r>
    </w:p>
    <w:p w14:paraId="5932D8E3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1.运输品种为土石综合，运距按每增加1Km（四舍五入取整）计算。</w:t>
      </w:r>
    </w:p>
    <w:p w14:paraId="331AE497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2.需满足设计等相关要求，土石方运输体积按回填后的竣工（设计）体积计算。</w:t>
      </w:r>
    </w:p>
    <w:p w14:paraId="4AFE89C3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服务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量为暂定，结算以实际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服务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量为准，结算时不以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服务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量增减调整单价。</w:t>
      </w:r>
    </w:p>
    <w:p w14:paraId="3E97EA80">
      <w:pPr>
        <w:numPr>
          <w:ilvl w:val="0"/>
          <w:numId w:val="1"/>
        </w:numPr>
        <w:spacing w:line="54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招采控制价</w:t>
      </w:r>
    </w:p>
    <w:tbl>
      <w:tblPr>
        <w:tblStyle w:val="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20"/>
        <w:gridCol w:w="3020"/>
        <w:gridCol w:w="3020"/>
      </w:tblGrid>
      <w:tr w14:paraId="06E7A20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3020" w:type="dxa"/>
            <w:vAlign w:val="center"/>
          </w:tcPr>
          <w:p w14:paraId="13A7610C">
            <w:pPr>
              <w:spacing w:line="540" w:lineRule="atLeas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服务项目</w:t>
            </w:r>
          </w:p>
        </w:tc>
        <w:tc>
          <w:tcPr>
            <w:tcW w:w="3020" w:type="dxa"/>
            <w:vAlign w:val="center"/>
          </w:tcPr>
          <w:p w14:paraId="3BCB2537">
            <w:pPr>
              <w:spacing w:line="540" w:lineRule="atLeas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单价（元/方）</w:t>
            </w:r>
          </w:p>
        </w:tc>
        <w:tc>
          <w:tcPr>
            <w:tcW w:w="3020" w:type="dxa"/>
            <w:vAlign w:val="center"/>
          </w:tcPr>
          <w:p w14:paraId="1E618BB6">
            <w:pPr>
              <w:spacing w:line="540" w:lineRule="atLeas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  <w:t>税率</w:t>
            </w:r>
          </w:p>
        </w:tc>
      </w:tr>
      <w:tr w14:paraId="5DB5698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  <w:vAlign w:val="center"/>
          </w:tcPr>
          <w:p w14:paraId="38F84E20">
            <w:pPr>
              <w:spacing w:line="540" w:lineRule="atLeas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挖装土石方</w:t>
            </w:r>
          </w:p>
        </w:tc>
        <w:tc>
          <w:tcPr>
            <w:tcW w:w="3020" w:type="dxa"/>
            <w:vAlign w:val="center"/>
          </w:tcPr>
          <w:p w14:paraId="1A3F8B94">
            <w:pPr>
              <w:spacing w:line="540" w:lineRule="atLeas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3.37</w:t>
            </w:r>
          </w:p>
        </w:tc>
        <w:tc>
          <w:tcPr>
            <w:tcW w:w="3020" w:type="dxa"/>
            <w:vAlign w:val="center"/>
          </w:tcPr>
          <w:p w14:paraId="0BB8B5E8">
            <w:pPr>
              <w:spacing w:line="540" w:lineRule="atLeas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含税9%</w:t>
            </w:r>
          </w:p>
        </w:tc>
      </w:tr>
      <w:tr w14:paraId="674B8A5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  <w:vAlign w:val="center"/>
          </w:tcPr>
          <w:p w14:paraId="50147376">
            <w:pPr>
              <w:spacing w:line="540" w:lineRule="atLeas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土石方转运（1km以内）</w:t>
            </w:r>
          </w:p>
        </w:tc>
        <w:tc>
          <w:tcPr>
            <w:tcW w:w="3020" w:type="dxa"/>
            <w:vAlign w:val="center"/>
          </w:tcPr>
          <w:p w14:paraId="5E56D741">
            <w:pPr>
              <w:spacing w:line="540" w:lineRule="atLeas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2.64</w:t>
            </w:r>
          </w:p>
        </w:tc>
        <w:tc>
          <w:tcPr>
            <w:tcW w:w="3020" w:type="dxa"/>
            <w:vAlign w:val="center"/>
          </w:tcPr>
          <w:p w14:paraId="655019CE">
            <w:pPr>
              <w:spacing w:line="540" w:lineRule="atLeas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含税9%，含运距增减调整</w:t>
            </w:r>
          </w:p>
        </w:tc>
      </w:tr>
      <w:tr w14:paraId="6F1F17E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  <w:vAlign w:val="center"/>
          </w:tcPr>
          <w:p w14:paraId="1CF5C0E3">
            <w:pPr>
              <w:spacing w:line="540" w:lineRule="atLeas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回填方（含1km内取土装运）</w:t>
            </w:r>
          </w:p>
        </w:tc>
        <w:tc>
          <w:tcPr>
            <w:tcW w:w="3020" w:type="dxa"/>
            <w:vAlign w:val="center"/>
          </w:tcPr>
          <w:p w14:paraId="3A8CAB00">
            <w:pPr>
              <w:spacing w:line="540" w:lineRule="atLeas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9.48</w:t>
            </w:r>
          </w:p>
        </w:tc>
        <w:tc>
          <w:tcPr>
            <w:tcW w:w="3020" w:type="dxa"/>
            <w:vAlign w:val="center"/>
          </w:tcPr>
          <w:p w14:paraId="13C158DB">
            <w:pPr>
              <w:spacing w:line="540" w:lineRule="atLeas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含税9%，含运距增减调整</w:t>
            </w:r>
          </w:p>
        </w:tc>
      </w:tr>
      <w:tr w14:paraId="69CA944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20" w:type="dxa"/>
            <w:vAlign w:val="center"/>
          </w:tcPr>
          <w:p w14:paraId="6300C265">
            <w:pPr>
              <w:spacing w:line="540" w:lineRule="atLeas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回填方运输（每增加1km）</w:t>
            </w:r>
          </w:p>
        </w:tc>
        <w:tc>
          <w:tcPr>
            <w:tcW w:w="3020" w:type="dxa"/>
            <w:vAlign w:val="center"/>
          </w:tcPr>
          <w:p w14:paraId="7D437752">
            <w:pPr>
              <w:spacing w:line="540" w:lineRule="atLeas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1.29</w:t>
            </w:r>
          </w:p>
        </w:tc>
        <w:tc>
          <w:tcPr>
            <w:tcW w:w="3020" w:type="dxa"/>
            <w:vAlign w:val="center"/>
          </w:tcPr>
          <w:p w14:paraId="2E26925D">
            <w:pPr>
              <w:spacing w:line="540" w:lineRule="atLeas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含税9%</w:t>
            </w:r>
          </w:p>
        </w:tc>
      </w:tr>
    </w:tbl>
    <w:p w14:paraId="7980FBA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</w:p>
    <w:p w14:paraId="63B99672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</w:rPr>
        <w:t>、供应商要求</w:t>
      </w:r>
    </w:p>
    <w:p w14:paraId="683932BB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  <w:t>（一）须具备独立法人资格，持有有效的营业执照，营业执照经营范围应包含土石方工程施工相关业务，能够独立承担民事责任。</w:t>
      </w:r>
    </w:p>
    <w:p w14:paraId="53E2A413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  <w:t>（二）具备住房城乡建设主管部门核发的有效的建筑业企业资质证书，且资质等级需满足土石方工程专业承包相应等级要求，能够承接本项目所涉及的土石方挖装、转运、回填等服务。</w:t>
      </w:r>
    </w:p>
    <w:p w14:paraId="6C4E2C69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  <w:t>（三）拥有有效的安全生产许可证，确保在</w:t>
      </w:r>
      <w:r>
        <w:rPr>
          <w:rFonts w:hint="eastAsia" w:eastAsia="仿宋_GB2312" w:cs="Times New Roman"/>
          <w:color w:val="1F2329"/>
          <w:kern w:val="0"/>
          <w:position w:val="-7"/>
          <w:sz w:val="32"/>
          <w:szCs w:val="32"/>
          <w:lang w:val="en-US" w:eastAsia="zh-CN"/>
        </w:rPr>
        <w:t>服务</w:t>
      </w:r>
      <w:r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  <w:t>过程中能够严格遵守安全生产相关法律法规及标准规范。</w:t>
      </w:r>
    </w:p>
    <w:p w14:paraId="5769F8C3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  <w:t>（四）自身具备满足本次服务事项所需的各类机械设备，且设备数量充足、性能良好。</w:t>
      </w:r>
    </w:p>
    <w:p w14:paraId="05F304CD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  <w:t>（五）具有良好的商业信誉，在近三年内无重大违法违规记录。</w:t>
      </w:r>
    </w:p>
    <w:p w14:paraId="54D41BB4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  <w:t>（</w:t>
      </w:r>
      <w:r>
        <w:rPr>
          <w:rFonts w:hint="eastAsia" w:eastAsia="仿宋_GB2312" w:cs="Times New Roman"/>
          <w:color w:val="1F2329"/>
          <w:kern w:val="0"/>
          <w:position w:val="-7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仿宋_GB2312" w:cs="Times New Roman"/>
          <w:color w:val="1F2329"/>
          <w:kern w:val="0"/>
          <w:position w:val="-7"/>
          <w:sz w:val="32"/>
          <w:szCs w:val="32"/>
          <w:lang w:eastAsia="zh-CN"/>
        </w:rPr>
        <w:t>）服务商承担施工期间所有安全与环保责任</w:t>
      </w:r>
    </w:p>
    <w:p w14:paraId="54194E44">
      <w:pPr>
        <w:spacing w:line="54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</w:rPr>
        <w:t>、报价要求</w:t>
      </w:r>
    </w:p>
    <w:p w14:paraId="760702A4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</w:t>
      </w:r>
      <w:bookmarkStart w:id="7" w:name="OLE_LINK13"/>
      <w:bookmarkStart w:id="8" w:name="OLE_LINK12"/>
      <w:r>
        <w:rPr>
          <w:rFonts w:hint="default" w:ascii="Times New Roman" w:hAnsi="Times New Roman" w:eastAsia="仿宋_GB2312" w:cs="Times New Roman"/>
          <w:sz w:val="32"/>
          <w:szCs w:val="32"/>
        </w:rPr>
        <w:t>所有报价均用人民币表示，其中单价即为履行合同的固定价格，包括但不限于机械租赁费、人工费、税费、材料费、交通费、利润、保险等为完成本事项约定服务的所有费用</w:t>
      </w:r>
      <w:bookmarkEnd w:id="7"/>
      <w:bookmarkEnd w:id="8"/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 w14:paraId="6A49BEA1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2.供应商须提供营业执照复印件、相应资质证明复印件并加盖公章。</w:t>
      </w:r>
    </w:p>
    <w:p w14:paraId="07D4E4D1">
      <w:pPr>
        <w:spacing w:line="54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七．支付节点</w:t>
      </w:r>
    </w:p>
    <w:p w14:paraId="22C3FE9B">
      <w:pPr>
        <w:spacing w:line="540" w:lineRule="atLeas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1.进度款支付：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每月15日前，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采购人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按上月计量批复金额的80%支付进度款；若因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采购人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原因无法足额支付，每月实际支付不低于当月批复金额的50%。</w:t>
      </w:r>
    </w:p>
    <w:p w14:paraId="170C25F7">
      <w:pPr>
        <w:spacing w:line="540" w:lineRule="atLeas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2.</w:t>
      </w:r>
      <w:r>
        <w:rPr>
          <w:rFonts w:hint="eastAsia" w:ascii="楷体_GB2312" w:eastAsia="楷体_GB2312"/>
          <w:sz w:val="32"/>
          <w:szCs w:val="32"/>
          <w:lang w:val="en-US" w:eastAsia="zh-CN"/>
        </w:rPr>
        <w:t>验收</w:t>
      </w:r>
      <w:r>
        <w:rPr>
          <w:rFonts w:hint="eastAsia" w:ascii="楷体_GB2312" w:eastAsia="楷体_GB2312"/>
          <w:sz w:val="32"/>
          <w:szCs w:val="32"/>
        </w:rPr>
        <w:t>付款：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整体服务完成</w:t>
      </w:r>
      <w:r>
        <w:rPr>
          <w:rFonts w:hint="eastAsia" w:ascii="仿宋_GB2312" w:eastAsia="仿宋_GB2312"/>
          <w:sz w:val="32"/>
          <w:szCs w:val="32"/>
        </w:rPr>
        <w:t>验收合格后，甲方拨付至全部计量产值的80%。</w:t>
      </w:r>
    </w:p>
    <w:p w14:paraId="03289A67">
      <w:pPr>
        <w:spacing w:line="540" w:lineRule="atLeas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3.结算付款：</w:t>
      </w:r>
      <w:r>
        <w:rPr>
          <w:rFonts w:hint="eastAsia" w:ascii="仿宋_GB2312" w:eastAsia="仿宋_GB2312"/>
          <w:sz w:val="32"/>
          <w:szCs w:val="32"/>
        </w:rPr>
        <w:t>审计完成后，甲方支付至审定金额的97%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 w14:paraId="461F2553">
      <w:pPr>
        <w:spacing w:line="540" w:lineRule="atLeas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4.</w:t>
      </w:r>
      <w:r>
        <w:rPr>
          <w:rFonts w:hint="eastAsia" w:eastAsia="楷体_GB2312" w:cs="Times New Roman"/>
          <w:sz w:val="32"/>
          <w:szCs w:val="32"/>
          <w:lang w:val="en-US" w:eastAsia="zh-CN"/>
        </w:rPr>
        <w:t>服务质量保证</w:t>
      </w:r>
      <w:r>
        <w:rPr>
          <w:rFonts w:hint="default" w:ascii="Times New Roman" w:hAnsi="Times New Roman" w:eastAsia="楷体_GB2312" w:cs="Times New Roman"/>
          <w:sz w:val="32"/>
          <w:szCs w:val="32"/>
        </w:rPr>
        <w:t>金：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剩余3%作为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服务质量保证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金，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服务质量保证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期满（</w:t>
      </w:r>
      <w:r>
        <w:rPr>
          <w:rFonts w:hint="eastAsia" w:ascii="仿宋_GB2312" w:eastAsia="仿宋_GB2312"/>
          <w:sz w:val="32"/>
          <w:szCs w:val="32"/>
        </w:rPr>
        <w:t>自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整体服务完成</w:t>
      </w:r>
      <w:r>
        <w:rPr>
          <w:rFonts w:hint="eastAsia" w:ascii="仿宋_GB2312" w:eastAsia="仿宋_GB2312"/>
          <w:sz w:val="32"/>
          <w:szCs w:val="32"/>
        </w:rPr>
        <w:t>验收合格之日起2年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）且无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服务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质量问题的，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采购人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一次性无息退还。</w:t>
      </w:r>
    </w:p>
    <w:p w14:paraId="7DC07FAF">
      <w:pPr>
        <w:spacing w:line="540" w:lineRule="atLeas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5.支付方式：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采购人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可采用银行转账、银行承兑汇票、保理、商业汇票、应收账款电子凭证等方式支付，相关贴现费用由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服务商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承担。</w:t>
      </w:r>
    </w:p>
    <w:p w14:paraId="2AF3A287">
      <w:pPr>
        <w:spacing w:line="540" w:lineRule="atLeas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6.付款前提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服务商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在申请付款时，须向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采购人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提供等额、合法有效的9%增值税专用发票及请款申请，否则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采购人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有权拒绝付款且不承担逾期责任。</w:t>
      </w:r>
    </w:p>
    <w:p w14:paraId="456B5B4F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八</w:t>
      </w:r>
      <w:r>
        <w:rPr>
          <w:rFonts w:hint="default" w:ascii="Times New Roman" w:hAnsi="Times New Roman" w:eastAsia="黑体" w:cs="Times New Roman"/>
          <w:sz w:val="32"/>
          <w:szCs w:val="32"/>
        </w:rPr>
        <w:t>、服务期限：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暂定365个日历天，以甲方告知进场时间和进度要求为准。</w:t>
      </w:r>
    </w:p>
    <w:p w14:paraId="798569D9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lang w:val="en-US" w:eastAsia="zh-CN" w:bidi="ar-SA"/>
        </w:rPr>
        <w:t>九、递交</w:t>
      </w:r>
      <w:r>
        <w:rPr>
          <w:rFonts w:hint="eastAsia" w:eastAsia="黑体" w:cs="Times New Roman"/>
          <w:color w:val="auto"/>
          <w:kern w:val="2"/>
          <w:sz w:val="32"/>
          <w:szCs w:val="32"/>
          <w:lang w:val="en-US" w:eastAsia="zh-CN" w:bidi="ar-SA"/>
        </w:rPr>
        <w:t>报名</w:t>
      </w:r>
      <w:r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lang w:val="en-US" w:eastAsia="zh-CN" w:bidi="ar-SA"/>
        </w:rPr>
        <w:t>文件截止时间：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请于2026年2月</w:t>
      </w:r>
      <w:r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日1</w:t>
      </w:r>
      <w:r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-SA"/>
        </w:rPr>
        <w:t>7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:</w:t>
      </w:r>
      <w:r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-SA"/>
        </w:rPr>
        <w:t>3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0（北京时间）前</w:t>
      </w:r>
      <w:r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-SA"/>
        </w:rPr>
        <w:t>，将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加盖公章</w:t>
      </w:r>
      <w:r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-SA"/>
        </w:rPr>
        <w:t>的营业执照及身份证明文件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递交至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广汉市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弘源建设发展有限公司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。</w:t>
      </w:r>
    </w:p>
    <w:p w14:paraId="2399206B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lang w:val="en-US" w:eastAsia="zh-CN" w:bidi="ar-SA"/>
        </w:rPr>
        <w:t>十、询价时间及地点</w:t>
      </w:r>
      <w:r>
        <w:rPr>
          <w:rFonts w:hint="eastAsia" w:ascii="Times New Roman" w:hAnsi="Times New Roman" w:eastAsia="黑体" w:cs="Times New Roman"/>
          <w:color w:val="auto"/>
          <w:kern w:val="2"/>
          <w:sz w:val="32"/>
          <w:szCs w:val="32"/>
          <w:lang w:val="en-US" w:eastAsia="zh-CN" w:bidi="ar-SA"/>
        </w:rPr>
        <w:t>：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202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6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2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月</w:t>
      </w:r>
      <w:r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-SA"/>
        </w:rPr>
        <w:t>11</w:t>
      </w:r>
      <w:bookmarkStart w:id="9" w:name="_GoBack"/>
      <w:bookmarkEnd w:id="9"/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日</w:t>
      </w:r>
      <w:r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:</w:t>
      </w:r>
      <w:r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-SA"/>
        </w:rPr>
        <w:t>0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0(北京时间)询价文件加盖公章后递交至</w:t>
      </w:r>
      <w:r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-SA"/>
        </w:rPr>
        <w:t>广汉市弘源建设发展有限公司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。逾期送达、未盖章、未密封和标注错误、未按要求格式填写的报价文件均不被接受。</w:t>
      </w:r>
    </w:p>
    <w:p w14:paraId="7022544F">
      <w:pPr>
        <w:spacing w:line="54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十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黑体" w:cs="Times New Roman"/>
          <w:sz w:val="32"/>
          <w:szCs w:val="32"/>
        </w:rPr>
        <w:t>、联系方式：</w:t>
      </w:r>
    </w:p>
    <w:p w14:paraId="2D6F6DF7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采购人: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广汉市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弘源建设发展有限公司</w:t>
      </w:r>
    </w:p>
    <w:p w14:paraId="53C3A262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地址：四川省德阳市广汉市天津路西一段38号航天航空科</w:t>
      </w:r>
    </w:p>
    <w:p w14:paraId="66FDAB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600" w:firstLineChars="5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技孵化产业园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8F808</w:t>
      </w:r>
    </w:p>
    <w:p w14:paraId="4F886F88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邮编：618300</w:t>
      </w:r>
    </w:p>
    <w:p w14:paraId="3D160EB9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联系人：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邓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先生</w:t>
      </w:r>
    </w:p>
    <w:p w14:paraId="32B9B592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联系电话：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18783830476</w:t>
      </w:r>
    </w:p>
    <w:p w14:paraId="03612648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附件：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1、报价函</w:t>
      </w:r>
    </w:p>
    <w:p w14:paraId="653836F3">
      <w:pPr>
        <w:spacing w:line="540" w:lineRule="exact"/>
        <w:ind w:firstLine="1600" w:firstLineChars="5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2、承诺函</w:t>
      </w:r>
    </w:p>
    <w:p w14:paraId="70B04954">
      <w:pPr>
        <w:spacing w:line="540" w:lineRule="exact"/>
        <w:ind w:firstLine="1600" w:firstLineChars="5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3、土石方机械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租赁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服务合同</w:t>
      </w:r>
    </w:p>
    <w:p w14:paraId="6EFE4FA5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26358E53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3EE59A10"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广汉市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弘源建设发展有限公司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</w:t>
      </w:r>
    </w:p>
    <w:p w14:paraId="6D6831CB">
      <w:pPr>
        <w:spacing w:line="540" w:lineRule="exact"/>
        <w:ind w:firstLine="5440" w:firstLineChars="17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日 </w:t>
      </w:r>
    </w:p>
    <w:p w14:paraId="040FF82B">
      <w:pPr>
        <w:spacing w:line="54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3F194453">
      <w:pPr>
        <w:spacing w:line="54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07930E5A">
      <w:pPr>
        <w:spacing w:line="54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3B0AE0DB">
      <w:pPr>
        <w:rPr>
          <w:rFonts w:hint="default" w:ascii="Times New Roman" w:hAnsi="Times New Roman" w:cs="Times New Roman"/>
        </w:rPr>
      </w:pPr>
    </w:p>
    <w:p w14:paraId="012F544F">
      <w:pPr>
        <w:rPr>
          <w:rFonts w:hint="default" w:ascii="Times New Roman" w:hAnsi="Times New Roman" w:cs="Times New Roman"/>
        </w:rPr>
      </w:pPr>
    </w:p>
    <w:p w14:paraId="33C24FEB">
      <w:pPr>
        <w:rPr>
          <w:rFonts w:hint="default" w:ascii="Times New Roman" w:hAnsi="Times New Roman" w:cs="Times New Roman"/>
        </w:rPr>
      </w:pP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2AE4D8"/>
    <w:multiLevelType w:val="singleLevel"/>
    <w:tmpl w:val="EC2AE4D8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wMzQ4YWM1ZTNkYWRhNjRmODczOTEzYjhlYzFlMjkifQ=="/>
  </w:docVars>
  <w:rsids>
    <w:rsidRoot w:val="00107373"/>
    <w:rsid w:val="00107373"/>
    <w:rsid w:val="00114511"/>
    <w:rsid w:val="0023402B"/>
    <w:rsid w:val="0028278F"/>
    <w:rsid w:val="003055C7"/>
    <w:rsid w:val="00347C23"/>
    <w:rsid w:val="00377CE1"/>
    <w:rsid w:val="003A12E6"/>
    <w:rsid w:val="003C538F"/>
    <w:rsid w:val="004C0F29"/>
    <w:rsid w:val="005549B9"/>
    <w:rsid w:val="00566B01"/>
    <w:rsid w:val="00661D71"/>
    <w:rsid w:val="007B1074"/>
    <w:rsid w:val="007B1CB9"/>
    <w:rsid w:val="007F4C25"/>
    <w:rsid w:val="008861C4"/>
    <w:rsid w:val="009D5EA6"/>
    <w:rsid w:val="009F29CB"/>
    <w:rsid w:val="00AC2AAA"/>
    <w:rsid w:val="00B65F86"/>
    <w:rsid w:val="00BC54F4"/>
    <w:rsid w:val="00D05D8D"/>
    <w:rsid w:val="00D4380E"/>
    <w:rsid w:val="00E33CA3"/>
    <w:rsid w:val="00E660E9"/>
    <w:rsid w:val="00ED5496"/>
    <w:rsid w:val="00F338BB"/>
    <w:rsid w:val="00F72B8C"/>
    <w:rsid w:val="00FB3B8B"/>
    <w:rsid w:val="045F303F"/>
    <w:rsid w:val="052D4281"/>
    <w:rsid w:val="074A1D85"/>
    <w:rsid w:val="07F341CA"/>
    <w:rsid w:val="090F25C0"/>
    <w:rsid w:val="0A4C17B7"/>
    <w:rsid w:val="0B9F6417"/>
    <w:rsid w:val="0C1110C3"/>
    <w:rsid w:val="0DAF0B93"/>
    <w:rsid w:val="127B3F15"/>
    <w:rsid w:val="1674297A"/>
    <w:rsid w:val="1B1A25DD"/>
    <w:rsid w:val="1D76522A"/>
    <w:rsid w:val="26AC1A61"/>
    <w:rsid w:val="274243CE"/>
    <w:rsid w:val="2C4970FA"/>
    <w:rsid w:val="2CDE6947"/>
    <w:rsid w:val="2E816E9B"/>
    <w:rsid w:val="2F7C29A8"/>
    <w:rsid w:val="3077752F"/>
    <w:rsid w:val="31571E34"/>
    <w:rsid w:val="319E49B0"/>
    <w:rsid w:val="37CD55EE"/>
    <w:rsid w:val="39856E6C"/>
    <w:rsid w:val="3AD4138A"/>
    <w:rsid w:val="3BB84BEA"/>
    <w:rsid w:val="447C0AC8"/>
    <w:rsid w:val="49D117A2"/>
    <w:rsid w:val="4D307987"/>
    <w:rsid w:val="57691130"/>
    <w:rsid w:val="59ED1B53"/>
    <w:rsid w:val="5BB648CA"/>
    <w:rsid w:val="5CDC6150"/>
    <w:rsid w:val="5ECE6C1C"/>
    <w:rsid w:val="5F062040"/>
    <w:rsid w:val="5FE17C21"/>
    <w:rsid w:val="6ABC523F"/>
    <w:rsid w:val="6B3D24B0"/>
    <w:rsid w:val="6CCB46D3"/>
    <w:rsid w:val="6E70778E"/>
    <w:rsid w:val="70002CA9"/>
    <w:rsid w:val="704D1714"/>
    <w:rsid w:val="75DE512F"/>
    <w:rsid w:val="778A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jc w:val="left"/>
    </w:pPr>
    <w:rPr>
      <w:color w:val="2B2B2B"/>
      <w:kern w:val="0"/>
      <w:sz w:val="24"/>
      <w:szCs w:val="20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lb"/>
    <w:basedOn w:val="9"/>
    <w:qFormat/>
    <w:uiPriority w:val="0"/>
  </w:style>
  <w:style w:type="character" w:customStyle="1" w:styleId="11">
    <w:name w:val="页眉 Char"/>
    <w:basedOn w:val="9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日期 Char"/>
    <w:basedOn w:val="9"/>
    <w:link w:val="3"/>
    <w:semiHidden/>
    <w:qFormat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6316B-DBA0-4111-88B6-E007E4B9EB9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2130</Words>
  <Characters>2279</Characters>
  <Lines>15</Lines>
  <Paragraphs>4</Paragraphs>
  <TotalTime>0</TotalTime>
  <ScaleCrop>false</ScaleCrop>
  <LinksUpToDate>false</LinksUpToDate>
  <CharactersWithSpaces>2306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2025-07-08T04:30:00Z</dcterms:created>
  <dc:creator>ASUS</dc:creator>
  <cp:lastModifiedBy>云慕长风</cp:lastModifiedBy>
  <cp:lastPrinted>2025-07-10T00:40:00Z</cp:lastPrinted>
  <dcterms:modified xsi:type="dcterms:W3CDTF">2026-02-06T00:30:31Z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D40A0A70415542DDA084558D8632C3D2_13</vt:lpwstr>
  </property>
  <property fmtid="{D5CDD505-2E9C-101B-9397-08002B2CF9AE}" pid="4" name="KSOTemplateDocerSaveRecord">
    <vt:lpwstr>eyJoZGlkIjoiMmRkYTJjZWU3YWMxYzU5MjdkY2FmMjY5NjhhMWY0NDUiLCJ1c2VySWQiOiIyOTM0ODczMTMifQ==</vt:lpwstr>
  </property>
</Properties>
</file>