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91988">
      <w:pPr>
        <w:spacing w:line="540" w:lineRule="atLeast"/>
        <w:ind w:firstLine="880" w:firstLineChars="200"/>
        <w:jc w:val="center"/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土石方机械服务合同</w:t>
      </w:r>
    </w:p>
    <w:p w14:paraId="23B5A254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74C28911">
      <w:pPr>
        <w:spacing w:line="540" w:lineRule="atLeas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甲方（采购人）：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法定代表人：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联系方式：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</w:p>
    <w:p w14:paraId="14A0BA9F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6CAE1603">
      <w:pPr>
        <w:spacing w:line="540" w:lineRule="atLeas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乙方（服务商）：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法定代表人：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联系方式：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合同编号：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</w:p>
    <w:p w14:paraId="2D6C3461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6CBAEE52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根据《中华人民共和国民法典》《中华人民共和国建筑法》等法律法规，甲乙</w:t>
      </w:r>
      <w:r>
        <w:rPr>
          <w:rFonts w:hint="eastAsia" w:ascii="仿宋_GB2312" w:eastAsia="仿宋_GB2312"/>
          <w:sz w:val="32"/>
          <w:szCs w:val="32"/>
        </w:rPr>
        <w:t>双方本着平等互利、诚实信用的原则，签订本合同，以资共同遵守。具体内容如下：</w:t>
      </w:r>
    </w:p>
    <w:p w14:paraId="2F9459D7">
      <w:pPr>
        <w:spacing w:line="540" w:lineRule="atLeas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一、服务内容与范围</w:t>
      </w:r>
    </w:p>
    <w:p w14:paraId="52B0A815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1.服务内容：</w:t>
      </w:r>
      <w:r>
        <w:rPr>
          <w:rFonts w:hint="eastAsia" w:ascii="仿宋_GB2312" w:eastAsia="仿宋_GB2312"/>
          <w:sz w:val="32"/>
          <w:szCs w:val="32"/>
        </w:rPr>
        <w:t>乙方按约定为德阳高新区跃龙片区棚户区改造（二期）A区建设项目一标段、二标段“打捆”项目提供以下服务：</w:t>
      </w:r>
    </w:p>
    <w:p w14:paraId="0C6AFA6C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（1）挖装土石方服务；</w:t>
      </w:r>
    </w:p>
    <w:p w14:paraId="58137D62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（2）土石方转运服务（运距1km以内）；</w:t>
      </w:r>
    </w:p>
    <w:p w14:paraId="412B4AC1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（3）回填方服务（内含1km范围内取土装运）；</w:t>
      </w:r>
    </w:p>
    <w:p w14:paraId="60067F2F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（4）回填方运输服务（每增加1km）。</w:t>
      </w:r>
    </w:p>
    <w:p w14:paraId="7673FF7D">
      <w:pPr>
        <w:spacing w:line="540" w:lineRule="atLeast"/>
        <w:ind w:firstLine="640" w:firstLineChars="20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2.具体范围：</w:t>
      </w:r>
    </w:p>
    <w:p w14:paraId="03787181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（1）挖装土石方：约  万方（实方），包含大开挖、基坑、沟槽、排水沟等部位的修边整形、场地平整、机械进出场，周边管线及建筑物监测维护、桩间挖土等，按挖掘前的天然密实体积计算。</w:t>
      </w:r>
    </w:p>
    <w:p w14:paraId="44EA9361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（2）土石方转运（1km以内）：约  万方（实方），运距按四舍五入取整，结算以实际运距为准，综合单价包含运距增减调整费用，按挖掘前的天然密实体积计算。</w:t>
      </w:r>
    </w:p>
    <w:p w14:paraId="7CD40D8F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（3）回填方（含1km内取土装运）：约  万方（实方），包含分层夯实（含边角补夯）、指定堆土场取土、场内外运输、摊铺、压实、平整及机械进出场等，按回填后的竣工（设计）体积计算。</w:t>
      </w:r>
    </w:p>
    <w:p w14:paraId="20E3895B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（4）回填方运输（每增加1km）：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约  万方</w:t>
      </w:r>
      <w:bookmarkStart w:id="2" w:name="_GoBack"/>
      <w:bookmarkEnd w:id="2"/>
      <w:r>
        <w:rPr>
          <w:rFonts w:hint="eastAsia" w:ascii="仿宋_GB2312" w:eastAsia="仿宋_GB2312"/>
          <w:sz w:val="32"/>
          <w:szCs w:val="32"/>
        </w:rPr>
        <w:t>运距按每增加1km（四舍五入取整）计算，按回填后的竣工（设计）体积计算。</w:t>
      </w:r>
    </w:p>
    <w:p w14:paraId="30FDB510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3.工程量为暂定，结算以实际完成且经甲方确认的工程量为准，结算时不因工程量增减调整综合单价。</w:t>
      </w:r>
    </w:p>
    <w:p w14:paraId="7CFAC53C">
      <w:pPr>
        <w:spacing w:line="540" w:lineRule="atLeas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二、合同价款</w:t>
      </w:r>
    </w:p>
    <w:p w14:paraId="56E61937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1.综合单价（含税9%）：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0"/>
        <w:gridCol w:w="3020"/>
        <w:gridCol w:w="3020"/>
      </w:tblGrid>
      <w:tr w14:paraId="20036F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3020" w:type="dxa"/>
            <w:vAlign w:val="center"/>
          </w:tcPr>
          <w:p w14:paraId="3A460CDF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服务项目</w:t>
            </w:r>
          </w:p>
        </w:tc>
        <w:tc>
          <w:tcPr>
            <w:tcW w:w="3020" w:type="dxa"/>
            <w:vAlign w:val="center"/>
          </w:tcPr>
          <w:p w14:paraId="20B20FB3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单价（元/方）</w:t>
            </w:r>
          </w:p>
        </w:tc>
        <w:tc>
          <w:tcPr>
            <w:tcW w:w="3020" w:type="dxa"/>
            <w:vAlign w:val="center"/>
          </w:tcPr>
          <w:p w14:paraId="153366B9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 w14:paraId="59921A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5EA26625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挖装土石方</w:t>
            </w:r>
          </w:p>
        </w:tc>
        <w:tc>
          <w:tcPr>
            <w:tcW w:w="3020" w:type="dxa"/>
            <w:vAlign w:val="center"/>
          </w:tcPr>
          <w:p w14:paraId="77B95D02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vAlign w:val="center"/>
          </w:tcPr>
          <w:p w14:paraId="5FCB72FC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含税9%</w:t>
            </w:r>
          </w:p>
        </w:tc>
      </w:tr>
      <w:tr w14:paraId="3D2D29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10CED5C1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土石方转运（1km以内）</w:t>
            </w:r>
          </w:p>
        </w:tc>
        <w:tc>
          <w:tcPr>
            <w:tcW w:w="3020" w:type="dxa"/>
            <w:vAlign w:val="center"/>
          </w:tcPr>
          <w:p w14:paraId="00BCE03E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vAlign w:val="center"/>
          </w:tcPr>
          <w:p w14:paraId="7D75418F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含税9%，含运距增减调整</w:t>
            </w:r>
          </w:p>
        </w:tc>
      </w:tr>
      <w:tr w14:paraId="1DDEB48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55D5A44C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回填方（含1km内取土装运）</w:t>
            </w:r>
          </w:p>
        </w:tc>
        <w:tc>
          <w:tcPr>
            <w:tcW w:w="3020" w:type="dxa"/>
            <w:vAlign w:val="center"/>
          </w:tcPr>
          <w:p w14:paraId="7A98277F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vAlign w:val="center"/>
          </w:tcPr>
          <w:p w14:paraId="4E197CB1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含税9%，含运距增减调整</w:t>
            </w:r>
          </w:p>
        </w:tc>
      </w:tr>
      <w:tr w14:paraId="732042F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226034C6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回填方运输（每增加1km）</w:t>
            </w:r>
          </w:p>
        </w:tc>
        <w:tc>
          <w:tcPr>
            <w:tcW w:w="3020" w:type="dxa"/>
            <w:vAlign w:val="center"/>
          </w:tcPr>
          <w:p w14:paraId="04E25AF2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vAlign w:val="center"/>
          </w:tcPr>
          <w:p w14:paraId="18C634AA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含税9%</w:t>
            </w:r>
          </w:p>
        </w:tc>
      </w:tr>
    </w:tbl>
    <w:p w14:paraId="2D0BDE1E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2.合同暂估总价款</w:t>
      </w:r>
      <w:r>
        <w:rPr>
          <w:rFonts w:hint="eastAsia" w:ascii="仿宋_GB2312" w:eastAsia="仿宋_GB2312"/>
          <w:sz w:val="32"/>
          <w:szCs w:val="32"/>
        </w:rPr>
        <w:t>：人民币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元（大写：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），最终结算价款按实际工程量×本合同约定综合单价计算。</w:t>
      </w:r>
    </w:p>
    <w:p w14:paraId="4DF1764D">
      <w:pPr>
        <w:spacing w:line="540" w:lineRule="atLeas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三、服务期限</w:t>
      </w:r>
    </w:p>
    <w:p w14:paraId="65E3FDCB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1.服务期限：</w:t>
      </w:r>
      <w:r>
        <w:rPr>
          <w:rFonts w:hint="eastAsia" w:ascii="仿宋_GB2312" w:eastAsia="仿宋_GB2312"/>
          <w:sz w:val="32"/>
          <w:szCs w:val="32"/>
        </w:rPr>
        <w:t>自本合同签订之日起90个日历天，乙方应在上述期限内完成全部服务内容并通过竣工验收。</w:t>
      </w:r>
    </w:p>
    <w:p w14:paraId="045BE0B9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2.因甲方原因或不可抗力导致工期延误的，服务期限相应顺延，甲方不承担逾期责任；因乙方原因导致工期延误的，按本合同第七条约定承担违约责任。</w:t>
      </w:r>
    </w:p>
    <w:p w14:paraId="4D00EC03">
      <w:pPr>
        <w:spacing w:line="540" w:lineRule="atLeas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四、双方权利与义务</w:t>
      </w:r>
    </w:p>
    <w:p w14:paraId="785AFDCB">
      <w:pPr>
        <w:spacing w:line="540" w:lineRule="atLeast"/>
        <w:ind w:firstLine="640" w:firstLineChars="20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（一）甲方权利与义务</w:t>
      </w:r>
    </w:p>
    <w:p w14:paraId="54C3587D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1.向乙方提供项目相关资料（包括但不限于施工图纸、地勘报告、场地范围等），明确服务要求及现场协调配合事项。</w:t>
      </w:r>
    </w:p>
    <w:p w14:paraId="3ADA365C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2.委派专人（姓名：   ，联系方式：   ）负责现场管理、工程量确认及验收工作。</w:t>
      </w:r>
    </w:p>
    <w:p w14:paraId="35DC3FE2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3.按本合同约定支付服务款项。</w:t>
      </w:r>
    </w:p>
    <w:p w14:paraId="5BB79470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4.监督乙方施工质量、安全生产及进度，对不符合要求的行为有权要求乙方整改。</w:t>
      </w:r>
    </w:p>
    <w:p w14:paraId="66BD797A">
      <w:pPr>
        <w:spacing w:line="540" w:lineRule="atLeast"/>
        <w:ind w:firstLine="640" w:firstLineChars="20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（二）乙方权利与义务</w:t>
      </w:r>
    </w:p>
    <w:p w14:paraId="346412DF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1.保证自身具备本合同服务所需的资质（建筑业企业资质、安全生产许可证等）、设备（数量充足、性能良好）及专业技术人员，承诺近三年内无重大违法违规记录（提供书面声明）。</w:t>
      </w:r>
    </w:p>
    <w:p w14:paraId="22B495C8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2.严格按照国家及行业标准、招采方案及本合同约定施工，确保服务质量符合设计及规范要求。</w:t>
      </w:r>
    </w:p>
    <w:p w14:paraId="481B2744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3.负责施工过程中的安全生产管理，配备安全防护设施，制定应急预案，承担因自身原因导致的安全事故责任及费用。</w:t>
      </w:r>
    </w:p>
    <w:p w14:paraId="5E2D89BF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4.合理调配回填用土，确保土石比例、夯实系数等符合规范，承担因材料或施工不当导致的返工、维修费用。</w:t>
      </w:r>
    </w:p>
    <w:p w14:paraId="647AB665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5.接受甲方现场管理及监督，及时整改甲方提出的问题，承担整改费用（因甲方原因导致的除外）。</w:t>
      </w:r>
    </w:p>
    <w:p w14:paraId="04500B8E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6.负责施工场地清洁及环境保护，避免对周边设施、环境造成损害，否则承担赔偿责任。</w:t>
      </w:r>
    </w:p>
    <w:p w14:paraId="65BD6269">
      <w:pPr>
        <w:spacing w:line="540" w:lineRule="atLeas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五、质量标准与验收</w:t>
      </w:r>
    </w:p>
    <w:p w14:paraId="622E2EB1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1.质量标准：</w:t>
      </w:r>
      <w:r>
        <w:rPr>
          <w:rFonts w:hint="eastAsia" w:ascii="仿宋_GB2312" w:eastAsia="仿宋_GB2312"/>
          <w:sz w:val="32"/>
          <w:szCs w:val="32"/>
        </w:rPr>
        <w:t>符合</w:t>
      </w:r>
      <w:bookmarkStart w:id="0" w:name="OLE_LINK13"/>
      <w:r>
        <w:rPr>
          <w:rFonts w:hint="eastAsia" w:ascii="仿宋_GB2312" w:eastAsia="仿宋_GB2312"/>
          <w:sz w:val="32"/>
          <w:szCs w:val="32"/>
        </w:rPr>
        <w:t>《建筑地基基础工程施工质量验收标准》（GB50202）</w:t>
      </w:r>
      <w:bookmarkEnd w:id="0"/>
      <w:r>
        <w:rPr>
          <w:rFonts w:hint="eastAsia" w:ascii="仿宋_GB2312" w:eastAsia="仿宋_GB2312"/>
          <w:sz w:val="32"/>
          <w:szCs w:val="32"/>
        </w:rPr>
        <w:t>等国家及行业现行标准，以及甲方合理的相关要求。</w:t>
      </w:r>
    </w:p>
    <w:p w14:paraId="0F1DE090">
      <w:pPr>
        <w:spacing w:line="540" w:lineRule="atLeast"/>
        <w:ind w:firstLine="640" w:firstLineChars="200"/>
        <w:rPr>
          <w:rFonts w:hint="eastAsia" w:ascii="楷体_GB2312" w:eastAsia="楷体_GB2312"/>
          <w:sz w:val="32"/>
          <w:szCs w:val="32"/>
        </w:rPr>
      </w:pPr>
      <w:bookmarkStart w:id="1" w:name="OLE_LINK12"/>
      <w:r>
        <w:rPr>
          <w:rFonts w:hint="eastAsia" w:ascii="楷体_GB2312" w:eastAsia="楷体_GB2312"/>
          <w:sz w:val="32"/>
          <w:szCs w:val="32"/>
        </w:rPr>
        <w:t>2.验收方式：</w:t>
      </w:r>
    </w:p>
    <w:bookmarkEnd w:id="1"/>
    <w:p w14:paraId="1E8C6013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（1）月度计量：乙方每月5日前提交上月完成工程量报告，甲方在10日内审核确认（作为进度款支付依据）。</w:t>
      </w:r>
    </w:p>
    <w:p w14:paraId="5A66C793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（2）竣工验收：乙方完成全部服务后提交验收申请，甲方组织相关方在15日内验收，验收合格的签署《竣工验收单》；不合格的，乙方需在指定期限内整改并重新申请验收，整改费用由乙方承担。</w:t>
      </w:r>
    </w:p>
    <w:p w14:paraId="713F8372">
      <w:pPr>
        <w:spacing w:line="540" w:lineRule="atLeas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六、付款方式</w:t>
      </w:r>
    </w:p>
    <w:p w14:paraId="0D5F07A7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1.进度款支付：</w:t>
      </w:r>
      <w:r>
        <w:rPr>
          <w:rFonts w:hint="eastAsia" w:ascii="仿宋_GB2312" w:eastAsia="仿宋_GB2312"/>
          <w:sz w:val="32"/>
          <w:szCs w:val="32"/>
        </w:rPr>
        <w:t>每月15日前，甲方按上月计量批复金额的80%支付进度款；若因甲方原因无法足额支付，每月实际支付不低于当月批复金额的50%。</w:t>
      </w:r>
    </w:p>
    <w:p w14:paraId="13018004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2.竣工付款：</w:t>
      </w:r>
      <w:r>
        <w:rPr>
          <w:rFonts w:hint="eastAsia" w:ascii="仿宋_GB2312" w:eastAsia="仿宋_GB2312"/>
          <w:sz w:val="32"/>
          <w:szCs w:val="32"/>
        </w:rPr>
        <w:t>工程竣工验收合格后，甲方拨付至全部计量产值的80%。</w:t>
      </w:r>
    </w:p>
    <w:p w14:paraId="1F6E740F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3.结算付款：</w:t>
      </w:r>
      <w:r>
        <w:rPr>
          <w:rFonts w:hint="eastAsia" w:ascii="仿宋_GB2312" w:eastAsia="仿宋_GB2312"/>
          <w:sz w:val="32"/>
          <w:szCs w:val="32"/>
        </w:rPr>
        <w:t>竣工审计完成后，甲方支付至审定金额的97%。</w:t>
      </w:r>
    </w:p>
    <w:p w14:paraId="6FB88181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4.质保金：</w:t>
      </w:r>
      <w:r>
        <w:rPr>
          <w:rFonts w:hint="eastAsia" w:ascii="仿宋_GB2312" w:eastAsia="仿宋_GB2312"/>
          <w:sz w:val="32"/>
          <w:szCs w:val="32"/>
        </w:rPr>
        <w:t>剩余3%作为质保金，质保期满（自竣工验收合格之日起2年）且无质量问题的，甲方一次性无息退还。</w:t>
      </w:r>
    </w:p>
    <w:p w14:paraId="6BB04E44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5.支付方式：</w:t>
      </w:r>
      <w:r>
        <w:rPr>
          <w:rFonts w:hint="eastAsia" w:ascii="仿宋_GB2312" w:eastAsia="仿宋_GB2312"/>
          <w:sz w:val="32"/>
          <w:szCs w:val="32"/>
        </w:rPr>
        <w:t>甲方可采用银行转账、银行承兑汇票、保理、商业汇票、应收账款电子凭证等方式支付，相关贴现费用由乙方承担。</w:t>
      </w:r>
    </w:p>
    <w:p w14:paraId="41126834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6.付款前提</w:t>
      </w:r>
      <w:r>
        <w:rPr>
          <w:rFonts w:hint="eastAsia" w:ascii="仿宋_GB2312" w:eastAsia="仿宋_GB2312"/>
          <w:sz w:val="32"/>
          <w:szCs w:val="32"/>
        </w:rPr>
        <w:t>：乙方在申请付款时，须向甲方提供等额、合法有效的9%增值税专用发票及请款申请，否则甲方有权拒绝付款且不承担逾期责任。</w:t>
      </w:r>
    </w:p>
    <w:p w14:paraId="5649ADFD">
      <w:pPr>
        <w:pStyle w:val="5"/>
        <w:widowControl w:val="0"/>
        <w:snapToGrid w:val="0"/>
        <w:spacing w:before="0" w:beforeAutospacing="0" w:after="0" w:afterAutospacing="0" w:line="570" w:lineRule="exact"/>
        <w:ind w:firstLine="640" w:firstLineChars="200"/>
        <w:jc w:val="both"/>
        <w:rPr>
          <w:rFonts w:ascii="Times New Roman" w:hAnsi="Times New Roman" w:eastAsia="楷体_GB2312"/>
          <w:bCs/>
          <w:color w:val="1F2329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</w:t>
      </w:r>
      <w:r>
        <w:rPr>
          <w:rFonts w:ascii="Times New Roman" w:hAnsi="Times New Roman" w:eastAsia="楷体_GB2312"/>
          <w:bCs/>
          <w:color w:val="1F2329"/>
          <w:sz w:val="32"/>
          <w:szCs w:val="32"/>
        </w:rPr>
        <w:t>乙方收款账户：</w:t>
      </w:r>
    </w:p>
    <w:p w14:paraId="63CDBB88">
      <w:pPr>
        <w:pStyle w:val="5"/>
        <w:widowControl w:val="0"/>
        <w:snapToGrid w:val="0"/>
        <w:spacing w:before="0" w:beforeAutospacing="0" w:after="0" w:afterAutospacing="0" w:line="570" w:lineRule="exact"/>
        <w:ind w:firstLine="640" w:firstLineChars="200"/>
        <w:jc w:val="both"/>
        <w:rPr>
          <w:rFonts w:ascii="Times New Roman" w:hAnsi="Times New Roman" w:eastAsia="仿宋_GB2312"/>
          <w:color w:val="1F2329"/>
          <w:sz w:val="32"/>
          <w:szCs w:val="32"/>
        </w:rPr>
      </w:pPr>
      <w:r>
        <w:rPr>
          <w:rFonts w:ascii="Times New Roman" w:hAnsi="Times New Roman" w:eastAsia="仿宋_GB2312"/>
          <w:color w:val="1F2329"/>
          <w:sz w:val="32"/>
          <w:szCs w:val="32"/>
        </w:rPr>
        <w:t>开户银行：XXX</w:t>
      </w:r>
    </w:p>
    <w:p w14:paraId="3DA950F1">
      <w:pPr>
        <w:pStyle w:val="5"/>
        <w:widowControl w:val="0"/>
        <w:snapToGrid w:val="0"/>
        <w:spacing w:before="0" w:beforeAutospacing="0" w:after="0" w:afterAutospacing="0" w:line="570" w:lineRule="exact"/>
        <w:ind w:firstLine="640" w:firstLineChars="200"/>
        <w:jc w:val="both"/>
        <w:rPr>
          <w:rFonts w:ascii="Times New Roman" w:hAnsi="Times New Roman" w:eastAsia="仿宋_GB2312"/>
          <w:color w:val="1F2329"/>
          <w:sz w:val="32"/>
          <w:szCs w:val="32"/>
        </w:rPr>
      </w:pPr>
      <w:r>
        <w:rPr>
          <w:rFonts w:ascii="Times New Roman" w:hAnsi="Times New Roman" w:eastAsia="仿宋_GB2312"/>
          <w:color w:val="1F2329"/>
          <w:sz w:val="32"/>
          <w:szCs w:val="32"/>
        </w:rPr>
        <w:t>账户名称：XXX</w:t>
      </w:r>
    </w:p>
    <w:p w14:paraId="08AB1B52">
      <w:pPr>
        <w:pStyle w:val="5"/>
        <w:widowControl w:val="0"/>
        <w:snapToGrid w:val="0"/>
        <w:spacing w:before="0" w:beforeAutospacing="0" w:after="0" w:afterAutospacing="0" w:line="570" w:lineRule="exact"/>
        <w:ind w:firstLine="640" w:firstLineChars="200"/>
        <w:jc w:val="both"/>
        <w:rPr>
          <w:rFonts w:hint="eastAsia" w:ascii="Times New Roman" w:hAnsi="Times New Roman" w:eastAsia="仿宋_GB2312"/>
          <w:color w:val="1F2329"/>
          <w:sz w:val="32"/>
          <w:szCs w:val="32"/>
        </w:rPr>
      </w:pPr>
      <w:r>
        <w:rPr>
          <w:rFonts w:ascii="Times New Roman" w:hAnsi="Times New Roman" w:eastAsia="仿宋_GB2312"/>
          <w:color w:val="1F2329"/>
          <w:sz w:val="32"/>
          <w:szCs w:val="32"/>
        </w:rPr>
        <w:t>账号：XXX</w:t>
      </w:r>
    </w:p>
    <w:p w14:paraId="79B8D063">
      <w:pPr>
        <w:spacing w:line="540" w:lineRule="atLeas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七、违约责任</w:t>
      </w:r>
    </w:p>
    <w:p w14:paraId="16646968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1.乙方逾期完成服务的，每逾期1日按合同暂估总价款的0.05%向甲方支付违约金；逾期超过15日的，甲方有权解除合同，乙方应退还已付款项并赔偿甲方损失。</w:t>
      </w:r>
    </w:p>
    <w:p w14:paraId="3258B364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2.乙方服务质量不符合约定的，应在甲方要求的期限内整改，逾期未整改或整改后仍不合格的，甲方有权扣除相应款项（按不合格部分价款的1.2倍计），并可另行委托第三方处理，费用由乙方承担。</w:t>
      </w:r>
    </w:p>
    <w:p w14:paraId="45397511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3.乙方违反安全生产约定导致事故的，承担全部赔偿责任（包括但不限于人员伤亡、财产损失、罚款等），甲方有权暂停付款直至问题解决。</w:t>
      </w:r>
    </w:p>
    <w:p w14:paraId="41C0B6C3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4.甲方无正当理由逾期支付款项的（除乙方未按约定提供发票外），每逾期1日按应付未付款项的0.05%向乙方支付违约金。</w:t>
      </w:r>
    </w:p>
    <w:p w14:paraId="469A4B63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5.乙方提供虚假资质、业绩的，甲方有权解除合同，乙方应支付合同暂估总价款10%的违约金并赔偿损失。</w:t>
      </w:r>
    </w:p>
    <w:p w14:paraId="5032D56D">
      <w:pPr>
        <w:spacing w:line="540" w:lineRule="atLeas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八、质保期</w:t>
      </w:r>
    </w:p>
    <w:p w14:paraId="0EC5D189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1.质保期</w:t>
      </w:r>
      <w:r>
        <w:rPr>
          <w:rFonts w:hint="eastAsia" w:ascii="仿宋_GB2312" w:eastAsia="仿宋_GB2312"/>
          <w:sz w:val="32"/>
          <w:szCs w:val="32"/>
        </w:rPr>
        <w:t>：自工程竣工验收合格之日起2年，质保期内乙方对服务质量缺陷（包括但不限于回填土沉降、压实度不达标等）承担免费维修责任。</w:t>
      </w:r>
    </w:p>
    <w:p w14:paraId="5C0F40E1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2.甲方发现质量问题的，应在3日内通知乙方，乙方须在收到通知后48小时内到场维修；逾期未维修的，甲方可委托第三方维修，费用从质保金中扣除（不足部分由乙方补足）。</w:t>
      </w:r>
    </w:p>
    <w:p w14:paraId="41D2CA4F">
      <w:pPr>
        <w:spacing w:line="540" w:lineRule="atLeas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九、不可抗力</w:t>
      </w:r>
    </w:p>
    <w:p w14:paraId="630B2ECC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地震、台风、战争等不可抗力导致本合同无法履行的，受影响一方应在不可抗力发生后48小时内通知对方，并在15日内提供证明文件，双方根据影响程度协商暂停履行、部分履行或解除合同，互不承担违约责任（已产生的合理费用按实结算）。</w:t>
      </w:r>
    </w:p>
    <w:p w14:paraId="37F14349">
      <w:pPr>
        <w:spacing w:line="540" w:lineRule="atLeas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十、争议解决</w:t>
      </w:r>
    </w:p>
    <w:p w14:paraId="3467A4BF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本合同履行过程中发生的争议，双方应友好协商解决；协商不成的，任何一方均有权向甲方所在地人民法院提起诉讼。</w:t>
      </w:r>
    </w:p>
    <w:p w14:paraId="1DAD8372">
      <w:pPr>
        <w:spacing w:line="540" w:lineRule="atLeas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十一、其他</w:t>
      </w:r>
    </w:p>
    <w:p w14:paraId="09111642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1.本合同未尽事宜，由双方另行签订补充协议，补充协议与本合同具有同等法律效力。</w:t>
      </w:r>
    </w:p>
    <w:p w14:paraId="7E7699BA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2.本合同附件（招采方案、乙方投标文件、工程量确认单、验收单等）为本合同不可分割的组成部分。</w:t>
      </w:r>
    </w:p>
    <w:p w14:paraId="4A51957B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3.本合同自双方法定代表人或授权代表人签字并加盖公章之日起生效，一式陆份，甲方执肆份，乙方执贰份，具有同等法律效力。</w:t>
      </w:r>
    </w:p>
    <w:p w14:paraId="19A0D076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02665A7E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4A5F7FBE">
      <w:pPr>
        <w:spacing w:line="540" w:lineRule="atLeas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甲方（盖章）：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</w:t>
      </w:r>
    </w:p>
    <w:p w14:paraId="04F4723E">
      <w:pPr>
        <w:spacing w:line="540" w:lineRule="atLeas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法定代表人/授权代表人（签字）：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日期：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17A7AF68">
      <w:pPr>
        <w:spacing w:line="540" w:lineRule="atLeas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351DC176">
      <w:pPr>
        <w:spacing w:line="540" w:lineRule="atLeas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乙方（盖章）：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法定代表人 / 授权代表人（签字）：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日期：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MwMzQ4YWM1ZTNkYWRhNjRmODczOTEzYjhlYzFlMjkifQ=="/>
  </w:docVars>
  <w:rsids>
    <w:rsidRoot w:val="00A82435"/>
    <w:rsid w:val="00172F08"/>
    <w:rsid w:val="002E1C8E"/>
    <w:rsid w:val="0032515B"/>
    <w:rsid w:val="00430621"/>
    <w:rsid w:val="008E2E4D"/>
    <w:rsid w:val="009A02EC"/>
    <w:rsid w:val="00A82435"/>
    <w:rsid w:val="00AA1C46"/>
    <w:rsid w:val="00E16B9D"/>
    <w:rsid w:val="00FB4795"/>
    <w:rsid w:val="0B1F2953"/>
    <w:rsid w:val="3CE21C6C"/>
    <w:rsid w:val="40A1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paragraph" w:styleId="4">
    <w:name w:val="heading 3"/>
    <w:basedOn w:val="1"/>
    <w:link w:val="12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标题 2 Char"/>
    <w:basedOn w:val="8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2">
    <w:name w:val="标题 3 Char"/>
    <w:basedOn w:val="8"/>
    <w:link w:val="4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3">
    <w:name w:val="semi-button-content-right"/>
    <w:basedOn w:val="8"/>
    <w:qFormat/>
    <w:uiPriority w:val="0"/>
  </w:style>
  <w:style w:type="character" w:customStyle="1" w:styleId="14">
    <w:name w:val="title-nlmw1o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6B515-CF6F-4FCD-BEC4-FBEE63D340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2696</Words>
  <Characters>2799</Characters>
  <Lines>22</Lines>
  <Paragraphs>6</Paragraphs>
  <TotalTime>1</TotalTime>
  <ScaleCrop>false</ScaleCrop>
  <LinksUpToDate>false</LinksUpToDate>
  <CharactersWithSpaces>3117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2025-08-04T04:24:00Z</dcterms:created>
  <dc:creator>ASUS</dc:creator>
  <cp:lastModifiedBy>云慕长风</cp:lastModifiedBy>
  <cp:lastPrinted>2025-08-07T00:59:00Z</cp:lastPrinted>
  <dcterms:modified xsi:type="dcterms:W3CDTF">2025-08-12T06:49:07Z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C08499C72B4F48FFA0F4C8D96B0231B9_12</vt:lpwstr>
  </property>
  <property fmtid="{D5CDD505-2E9C-101B-9397-08002B2CF9AE}" pid="4" name="KSOTemplateDocerSaveRecord">
    <vt:lpwstr>eyJoZGlkIjoiMmRkYTJjZWU3YWMxYzU5MjdkY2FmMjY5NjhhMWY0NDUiLCJ1c2VySWQiOiIyOTM0ODczMTMifQ==</vt:lpwstr>
  </property>
</Properties>
</file>