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BB7CFA">
      <w:pPr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附件</w:t>
      </w:r>
      <w:r>
        <w:rPr>
          <w:rFonts w:hint="eastAsia" w:eastAsia="黑体"/>
          <w:bCs/>
          <w:sz w:val="32"/>
          <w:szCs w:val="32"/>
        </w:rPr>
        <w:t>3：</w:t>
      </w:r>
    </w:p>
    <w:p w14:paraId="5216E245">
      <w:pPr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/>
          <w:bCs/>
          <w:sz w:val="44"/>
          <w:szCs w:val="44"/>
        </w:rPr>
        <w:t>报价函</w:t>
      </w:r>
    </w:p>
    <w:p w14:paraId="0F4B8B14">
      <w:pPr>
        <w:spacing w:line="560" w:lineRule="exact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广汉</w:t>
      </w:r>
      <w:r>
        <w:rPr>
          <w:rFonts w:eastAsia="仿宋_GB2312"/>
          <w:sz w:val="32"/>
          <w:szCs w:val="32"/>
        </w:rPr>
        <w:t>市广投建材有限公司：</w:t>
      </w:r>
    </w:p>
    <w:p w14:paraId="37076141">
      <w:pPr>
        <w:spacing w:line="560" w:lineRule="exact"/>
        <w:ind w:firstLine="640" w:firstLineChars="200"/>
        <w:jc w:val="left"/>
        <w:rPr>
          <w:rFonts w:eastAsia="仿宋_GB2312"/>
          <w:sz w:val="32"/>
          <w:szCs w:val="32"/>
          <w:highlight w:val="green"/>
        </w:rPr>
      </w:pPr>
      <w:r>
        <w:rPr>
          <w:rFonts w:eastAsia="仿宋_GB2312"/>
          <w:sz w:val="32"/>
          <w:szCs w:val="32"/>
        </w:rPr>
        <w:t>关于</w:t>
      </w:r>
      <w:r>
        <w:rPr>
          <w:rFonts w:hint="eastAsia" w:eastAsia="仿宋_GB2312"/>
          <w:sz w:val="32"/>
          <w:szCs w:val="32"/>
        </w:rPr>
        <w:t>贵公司</w:t>
      </w:r>
      <w:r>
        <w:rPr>
          <w:rFonts w:hint="eastAsia" w:eastAsia="仿宋_GB2312"/>
          <w:sz w:val="32"/>
          <w:szCs w:val="32"/>
          <w:u w:val="single"/>
        </w:rPr>
        <w:t xml:space="preserve">  砂浆控制价  </w:t>
      </w:r>
      <w:r>
        <w:rPr>
          <w:rFonts w:hint="eastAsia" w:eastAsia="仿宋_GB2312"/>
          <w:sz w:val="32"/>
          <w:szCs w:val="32"/>
        </w:rPr>
        <w:t>调研函</w:t>
      </w:r>
      <w:r>
        <w:rPr>
          <w:rFonts w:eastAsia="仿宋_GB2312"/>
          <w:sz w:val="32"/>
          <w:szCs w:val="32"/>
        </w:rPr>
        <w:t>，结合相关情况，经仔细研究决定，我方（单位名称）关于贵司该项目砂浆采购报价为元（不含税价），（大写：）</w:t>
      </w:r>
      <w:r>
        <w:rPr>
          <w:rFonts w:hint="eastAsia" w:eastAsia="仿宋_GB2312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下浮比例：%</w:t>
      </w:r>
      <w:r>
        <w:rPr>
          <w:rFonts w:hint="eastAsia" w:eastAsia="仿宋_GB2312"/>
          <w:sz w:val="32"/>
          <w:szCs w:val="32"/>
        </w:rPr>
        <w:t>,</w:t>
      </w:r>
      <w:r>
        <w:rPr>
          <w:rFonts w:eastAsia="仿宋_GB2312"/>
          <w:sz w:val="32"/>
          <w:szCs w:val="32"/>
        </w:rPr>
        <w:t>税率：。</w:t>
      </w:r>
    </w:p>
    <w:p w14:paraId="1A5FA53A">
      <w:pPr>
        <w:pStyle w:val="2"/>
        <w:rPr>
          <w:rFonts w:eastAsia="仿宋_GB2312"/>
          <w:sz w:val="32"/>
          <w:szCs w:val="32"/>
          <w:highlight w:val="green"/>
        </w:rPr>
      </w:pPr>
    </w:p>
    <w:p w14:paraId="21BCB355">
      <w:pPr>
        <w:rPr>
          <w:rFonts w:eastAsia="仿宋_GB2312"/>
          <w:szCs w:val="21"/>
        </w:rPr>
      </w:pPr>
      <w:r>
        <w:rPr>
          <w:rFonts w:hint="eastAsia" w:eastAsia="仿宋_GB2312"/>
          <w:szCs w:val="21"/>
        </w:rPr>
        <w:t>注：1.以上砂浆数量为暂估量，最终以现场实际收方签字为准。</w:t>
      </w:r>
    </w:p>
    <w:p w14:paraId="42B123AF">
      <w:pPr>
        <w:pStyle w:val="2"/>
        <w:ind w:firstLine="42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Cs w:val="21"/>
        </w:rPr>
        <w:t>2.所有标号砂浆单价按2025年4月广汉市造价信息价的基础上以同一下浮比例报价，单价包括但不限于运输费、管理费、利润等为完成本项目材料供应的所有费用。</w:t>
      </w:r>
    </w:p>
    <w:p w14:paraId="1C52543F">
      <w:pPr>
        <w:rPr>
          <w:rFonts w:eastAsia="仿宋_GB2312"/>
          <w:sz w:val="32"/>
          <w:szCs w:val="32"/>
          <w:highlight w:val="green"/>
        </w:rPr>
      </w:pPr>
    </w:p>
    <w:p w14:paraId="235592AC">
      <w:pPr>
        <w:pStyle w:val="2"/>
        <w:rPr>
          <w:rFonts w:eastAsia="仿宋_GB2312"/>
          <w:sz w:val="32"/>
          <w:szCs w:val="32"/>
          <w:highlight w:val="green"/>
        </w:rPr>
      </w:pPr>
    </w:p>
    <w:p w14:paraId="6A0EA0C7"/>
    <w:p w14:paraId="1C4A83B8">
      <w:pPr>
        <w:adjustRightInd w:val="0"/>
        <w:spacing w:line="480" w:lineRule="auto"/>
        <w:ind w:firstLine="2240" w:firstLineChars="7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单位名称：（盖单位公章）</w:t>
      </w:r>
    </w:p>
    <w:p w14:paraId="6CDEDFD8">
      <w:pPr>
        <w:ind w:firstLine="2240" w:firstLineChars="70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日  期：年月日</w:t>
      </w:r>
    </w:p>
    <w:p w14:paraId="19EAE523">
      <w:pPr>
        <w:ind w:firstLine="2240" w:firstLineChars="700"/>
        <w:jc w:val="left"/>
        <w:rPr>
          <w:rFonts w:eastAsia="仿宋_GB2312"/>
          <w:bCs/>
          <w:sz w:val="32"/>
          <w:szCs w:val="32"/>
        </w:rPr>
      </w:pPr>
    </w:p>
    <w:p w14:paraId="2617909B">
      <w:pPr>
        <w:ind w:firstLine="2240" w:firstLineChars="700"/>
        <w:jc w:val="left"/>
        <w:rPr>
          <w:rFonts w:eastAsia="仿宋_GB2312"/>
          <w:bCs/>
          <w:sz w:val="32"/>
          <w:szCs w:val="32"/>
        </w:rPr>
      </w:pPr>
    </w:p>
    <w:p w14:paraId="4B2CA4B8">
      <w:pPr>
        <w:ind w:firstLine="2240" w:firstLineChars="700"/>
        <w:jc w:val="left"/>
        <w:rPr>
          <w:rFonts w:eastAsia="仿宋_GB2312"/>
          <w:bCs/>
          <w:sz w:val="32"/>
          <w:szCs w:val="32"/>
        </w:rPr>
      </w:pPr>
    </w:p>
    <w:p w14:paraId="73C0E954">
      <w:pPr>
        <w:ind w:firstLine="2240" w:firstLineChars="700"/>
        <w:jc w:val="left"/>
        <w:rPr>
          <w:rFonts w:eastAsia="仿宋_GB2312"/>
          <w:bCs/>
          <w:sz w:val="32"/>
          <w:szCs w:val="32"/>
        </w:rPr>
      </w:pPr>
    </w:p>
    <w:p w14:paraId="0FAA6300">
      <w:pPr>
        <w:ind w:firstLine="2240" w:firstLineChars="700"/>
        <w:jc w:val="left"/>
        <w:rPr>
          <w:rFonts w:eastAsia="仿宋_GB2312"/>
          <w:bCs/>
          <w:sz w:val="32"/>
          <w:szCs w:val="32"/>
        </w:rPr>
      </w:pPr>
    </w:p>
    <w:p w14:paraId="4E9FC3FB">
      <w:pPr>
        <w:jc w:val="left"/>
        <w:rPr>
          <w:rFonts w:hint="eastAsia" w:eastAsia="仿宋_GB2312"/>
          <w:bCs/>
          <w:sz w:val="32"/>
          <w:szCs w:val="32"/>
        </w:rPr>
      </w:pPr>
    </w:p>
    <w:p w14:paraId="00F173E5">
      <w:pPr>
        <w:jc w:val="left"/>
        <w:rPr>
          <w:rFonts w:eastAsia="仿宋_GB2312"/>
          <w:bCs/>
          <w:sz w:val="32"/>
          <w:szCs w:val="32"/>
        </w:rPr>
      </w:pPr>
    </w:p>
    <w:p w14:paraId="0D7DAAC5">
      <w:pPr>
        <w:jc w:val="left"/>
        <w:rPr>
          <w:rFonts w:eastAsia="仿宋_GB2312"/>
          <w:bCs/>
          <w:sz w:val="32"/>
          <w:szCs w:val="32"/>
        </w:rPr>
      </w:pPr>
    </w:p>
    <w:p w14:paraId="178AA4A5">
      <w:pPr>
        <w:jc w:val="center"/>
        <w:rPr>
          <w:rFonts w:eastAsia="仿宋_GB2312"/>
          <w:bCs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1B85040E">
      <w:pPr>
        <w:jc w:val="center"/>
        <w:rPr>
          <w:rFonts w:eastAsia="仿宋_GB2312"/>
          <w:bCs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2" w:name="_GoBack"/>
      <w:bookmarkEnd w:id="2"/>
    </w:p>
    <w:p w14:paraId="4E2C21EB">
      <w:pPr>
        <w:jc w:val="center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砂浆分项报价单</w:t>
      </w:r>
    </w:p>
    <w:tbl>
      <w:tblPr>
        <w:tblStyle w:val="5"/>
        <w:tblpPr w:leftFromText="180" w:rightFromText="180" w:vertAnchor="text" w:horzAnchor="page" w:tblpX="1278" w:tblpY="784"/>
        <w:tblOverlap w:val="never"/>
        <w:tblW w:w="102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244"/>
        <w:gridCol w:w="829"/>
        <w:gridCol w:w="502"/>
        <w:gridCol w:w="960"/>
        <w:gridCol w:w="982"/>
        <w:gridCol w:w="941"/>
        <w:gridCol w:w="892"/>
        <w:gridCol w:w="1092"/>
        <w:gridCol w:w="839"/>
        <w:gridCol w:w="1269"/>
      </w:tblGrid>
      <w:tr w14:paraId="7E527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704" w:type="dxa"/>
            <w:shd w:val="clear" w:color="auto" w:fill="auto"/>
            <w:vAlign w:val="center"/>
          </w:tcPr>
          <w:p w14:paraId="106A1EC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0F9EBDD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材料名称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A61193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规格、型号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7DB04DD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单位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4337DF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982" w:type="dxa"/>
            <w:shd w:val="clear" w:color="auto" w:fill="auto"/>
            <w:vAlign w:val="center"/>
          </w:tcPr>
          <w:p w14:paraId="0A8F7B7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2025年4月 不含税信息价（元）</w:t>
            </w:r>
          </w:p>
        </w:tc>
        <w:tc>
          <w:tcPr>
            <w:tcW w:w="941" w:type="dxa"/>
            <w:shd w:val="clear" w:color="auto" w:fill="auto"/>
            <w:vAlign w:val="center"/>
          </w:tcPr>
          <w:p w14:paraId="6B9630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税率（%）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5B30E4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下浮比例（%）</w:t>
            </w:r>
          </w:p>
        </w:tc>
        <w:tc>
          <w:tcPr>
            <w:tcW w:w="1092" w:type="dxa"/>
            <w:shd w:val="clear" w:color="auto" w:fill="auto"/>
            <w:vAlign w:val="center"/>
          </w:tcPr>
          <w:p w14:paraId="3B1BF19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不含税单价（元）</w:t>
            </w:r>
          </w:p>
        </w:tc>
        <w:tc>
          <w:tcPr>
            <w:tcW w:w="839" w:type="dxa"/>
            <w:shd w:val="clear" w:color="auto" w:fill="auto"/>
            <w:vAlign w:val="center"/>
          </w:tcPr>
          <w:p w14:paraId="7658F5A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不含税合价（元）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4A255ED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14:paraId="1BD6E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 w14:paraId="643F60A2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4" w:type="dxa"/>
            <w:vAlign w:val="center"/>
          </w:tcPr>
          <w:p w14:paraId="6F8FBD76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砌筑砂浆</w:t>
            </w:r>
          </w:p>
        </w:tc>
        <w:tc>
          <w:tcPr>
            <w:tcW w:w="829" w:type="dxa"/>
            <w:vAlign w:val="center"/>
          </w:tcPr>
          <w:p w14:paraId="27298E14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M5</w:t>
            </w:r>
          </w:p>
        </w:tc>
        <w:tc>
          <w:tcPr>
            <w:tcW w:w="502" w:type="dxa"/>
            <w:vAlign w:val="center"/>
          </w:tcPr>
          <w:p w14:paraId="48EBE3EB">
            <w:pPr>
              <w:widowControl/>
              <w:jc w:val="center"/>
              <w:textAlignment w:val="center"/>
              <w:rPr>
                <w:rFonts w:eastAsia="黑体"/>
                <w:bCs/>
                <w:sz w:val="18"/>
                <w:szCs w:val="18"/>
                <w:highlight w:val="yellow"/>
              </w:rPr>
            </w:pPr>
            <w:bookmarkStart w:id="0" w:name="OLE_LINK3"/>
            <w:bookmarkStart w:id="1" w:name="OLE_LINK2"/>
            <w:r>
              <w:rPr>
                <w:rFonts w:eastAsia="黑体"/>
                <w:bCs/>
                <w:sz w:val="18"/>
                <w:szCs w:val="18"/>
              </w:rPr>
              <w:t>M³</w:t>
            </w:r>
            <w:bookmarkEnd w:id="0"/>
            <w:bookmarkEnd w:id="1"/>
          </w:p>
        </w:tc>
        <w:tc>
          <w:tcPr>
            <w:tcW w:w="960" w:type="dxa"/>
            <w:vAlign w:val="center"/>
          </w:tcPr>
          <w:p w14:paraId="36AACE08">
            <w:pPr>
              <w:widowControl/>
              <w:jc w:val="center"/>
              <w:textAlignment w:val="center"/>
              <w:rPr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370 </w:t>
            </w:r>
          </w:p>
        </w:tc>
        <w:tc>
          <w:tcPr>
            <w:tcW w:w="982" w:type="dxa"/>
            <w:vAlign w:val="center"/>
          </w:tcPr>
          <w:p w14:paraId="6D44DEF5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333 </w:t>
            </w:r>
          </w:p>
        </w:tc>
        <w:tc>
          <w:tcPr>
            <w:tcW w:w="941" w:type="dxa"/>
            <w:vAlign w:val="center"/>
          </w:tcPr>
          <w:p w14:paraId="2DE7C73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2" w:type="dxa"/>
            <w:vAlign w:val="center"/>
          </w:tcPr>
          <w:p w14:paraId="428E4F7C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1092" w:type="dxa"/>
            <w:vAlign w:val="center"/>
          </w:tcPr>
          <w:p w14:paraId="1EBFC184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839" w:type="dxa"/>
            <w:vAlign w:val="center"/>
          </w:tcPr>
          <w:p w14:paraId="3B4A681C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1269" w:type="dxa"/>
            <w:vAlign w:val="center"/>
          </w:tcPr>
          <w:p w14:paraId="3EAC8815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</w:tr>
      <w:tr w14:paraId="68AEB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04" w:type="dxa"/>
            <w:vAlign w:val="center"/>
          </w:tcPr>
          <w:p w14:paraId="68478174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44" w:type="dxa"/>
            <w:vAlign w:val="center"/>
          </w:tcPr>
          <w:p w14:paraId="792F2392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砌筑砂浆</w:t>
            </w:r>
          </w:p>
        </w:tc>
        <w:tc>
          <w:tcPr>
            <w:tcW w:w="829" w:type="dxa"/>
            <w:vAlign w:val="center"/>
          </w:tcPr>
          <w:p w14:paraId="0AA922AC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M7.5</w:t>
            </w:r>
          </w:p>
        </w:tc>
        <w:tc>
          <w:tcPr>
            <w:tcW w:w="502" w:type="dxa"/>
          </w:tcPr>
          <w:p w14:paraId="6F8FADEF">
            <w:r>
              <w:rPr>
                <w:rFonts w:eastAsia="黑体"/>
                <w:bCs/>
                <w:sz w:val="18"/>
                <w:szCs w:val="18"/>
              </w:rPr>
              <w:t>M³</w:t>
            </w:r>
          </w:p>
        </w:tc>
        <w:tc>
          <w:tcPr>
            <w:tcW w:w="960" w:type="dxa"/>
            <w:vAlign w:val="center"/>
          </w:tcPr>
          <w:p w14:paraId="057885D0">
            <w:pPr>
              <w:widowControl/>
              <w:jc w:val="center"/>
              <w:textAlignment w:val="center"/>
              <w:rPr>
                <w:color w:val="000000"/>
                <w:kern w:val="0"/>
                <w:sz w:val="20"/>
                <w:szCs w:val="20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7963 </w:t>
            </w:r>
          </w:p>
        </w:tc>
        <w:tc>
          <w:tcPr>
            <w:tcW w:w="982" w:type="dxa"/>
            <w:vAlign w:val="center"/>
          </w:tcPr>
          <w:p w14:paraId="3AF08DDD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338 </w:t>
            </w:r>
          </w:p>
        </w:tc>
        <w:tc>
          <w:tcPr>
            <w:tcW w:w="941" w:type="dxa"/>
            <w:vAlign w:val="center"/>
          </w:tcPr>
          <w:p w14:paraId="12A0F8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2" w:type="dxa"/>
            <w:vAlign w:val="center"/>
          </w:tcPr>
          <w:p w14:paraId="3B052117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1092" w:type="dxa"/>
            <w:vAlign w:val="center"/>
          </w:tcPr>
          <w:p w14:paraId="37F1281C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839" w:type="dxa"/>
            <w:vAlign w:val="center"/>
          </w:tcPr>
          <w:p w14:paraId="62779ABA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1269" w:type="dxa"/>
            <w:vAlign w:val="center"/>
          </w:tcPr>
          <w:p w14:paraId="48070A40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</w:tr>
      <w:tr w14:paraId="3D14B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04" w:type="dxa"/>
            <w:vAlign w:val="center"/>
          </w:tcPr>
          <w:p w14:paraId="508DB04A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44" w:type="dxa"/>
            <w:vAlign w:val="center"/>
          </w:tcPr>
          <w:p w14:paraId="46C84C72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抹灰砂浆</w:t>
            </w:r>
          </w:p>
        </w:tc>
        <w:tc>
          <w:tcPr>
            <w:tcW w:w="829" w:type="dxa"/>
            <w:vAlign w:val="center"/>
          </w:tcPr>
          <w:p w14:paraId="029D2AEF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M15</w:t>
            </w:r>
          </w:p>
        </w:tc>
        <w:tc>
          <w:tcPr>
            <w:tcW w:w="502" w:type="dxa"/>
          </w:tcPr>
          <w:p w14:paraId="51FD1150">
            <w:r>
              <w:rPr>
                <w:rFonts w:eastAsia="黑体"/>
                <w:bCs/>
                <w:sz w:val="18"/>
                <w:szCs w:val="18"/>
              </w:rPr>
              <w:t>M³</w:t>
            </w:r>
          </w:p>
        </w:tc>
        <w:tc>
          <w:tcPr>
            <w:tcW w:w="960" w:type="dxa"/>
            <w:vAlign w:val="center"/>
          </w:tcPr>
          <w:p w14:paraId="4271BB31">
            <w:pPr>
              <w:widowControl/>
              <w:jc w:val="center"/>
              <w:textAlignment w:val="center"/>
              <w:rPr>
                <w:color w:val="000000"/>
                <w:kern w:val="0"/>
                <w:sz w:val="20"/>
                <w:szCs w:val="20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1278 </w:t>
            </w:r>
          </w:p>
        </w:tc>
        <w:tc>
          <w:tcPr>
            <w:tcW w:w="982" w:type="dxa"/>
            <w:vAlign w:val="center"/>
          </w:tcPr>
          <w:p w14:paraId="10CEF9FC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400 </w:t>
            </w:r>
          </w:p>
        </w:tc>
        <w:tc>
          <w:tcPr>
            <w:tcW w:w="941" w:type="dxa"/>
            <w:vAlign w:val="center"/>
          </w:tcPr>
          <w:p w14:paraId="38D8429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2" w:type="dxa"/>
            <w:vAlign w:val="center"/>
          </w:tcPr>
          <w:p w14:paraId="14B80054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1092" w:type="dxa"/>
            <w:vAlign w:val="center"/>
          </w:tcPr>
          <w:p w14:paraId="0493DE91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839" w:type="dxa"/>
            <w:vAlign w:val="center"/>
          </w:tcPr>
          <w:p w14:paraId="463B3625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1269" w:type="dxa"/>
            <w:vAlign w:val="center"/>
          </w:tcPr>
          <w:p w14:paraId="0662689C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</w:tr>
      <w:tr w14:paraId="6A6E8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704" w:type="dxa"/>
            <w:vAlign w:val="center"/>
          </w:tcPr>
          <w:p w14:paraId="501BD66A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44" w:type="dxa"/>
            <w:vAlign w:val="center"/>
          </w:tcPr>
          <w:p w14:paraId="53F24CEB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抹灰砂浆</w:t>
            </w:r>
          </w:p>
        </w:tc>
        <w:tc>
          <w:tcPr>
            <w:tcW w:w="829" w:type="dxa"/>
            <w:vAlign w:val="center"/>
          </w:tcPr>
          <w:p w14:paraId="6A5E7521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M20</w:t>
            </w:r>
          </w:p>
        </w:tc>
        <w:tc>
          <w:tcPr>
            <w:tcW w:w="502" w:type="dxa"/>
          </w:tcPr>
          <w:p w14:paraId="2EEC2003">
            <w:r>
              <w:rPr>
                <w:rFonts w:eastAsia="黑体"/>
                <w:bCs/>
                <w:sz w:val="18"/>
                <w:szCs w:val="18"/>
              </w:rPr>
              <w:t>M³</w:t>
            </w:r>
          </w:p>
        </w:tc>
        <w:tc>
          <w:tcPr>
            <w:tcW w:w="960" w:type="dxa"/>
            <w:vAlign w:val="center"/>
          </w:tcPr>
          <w:p w14:paraId="1FA2B9E1">
            <w:pPr>
              <w:widowControl/>
              <w:jc w:val="center"/>
              <w:textAlignment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20874 </w:t>
            </w:r>
          </w:p>
        </w:tc>
        <w:tc>
          <w:tcPr>
            <w:tcW w:w="982" w:type="dxa"/>
            <w:vAlign w:val="center"/>
          </w:tcPr>
          <w:p w14:paraId="6CC9499D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410 </w:t>
            </w:r>
          </w:p>
        </w:tc>
        <w:tc>
          <w:tcPr>
            <w:tcW w:w="941" w:type="dxa"/>
            <w:vAlign w:val="center"/>
          </w:tcPr>
          <w:p w14:paraId="5CAC1F1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2" w:type="dxa"/>
            <w:vAlign w:val="center"/>
          </w:tcPr>
          <w:p w14:paraId="7E9F63FF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1092" w:type="dxa"/>
            <w:vAlign w:val="center"/>
          </w:tcPr>
          <w:p w14:paraId="11A4D81B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839" w:type="dxa"/>
            <w:vAlign w:val="center"/>
          </w:tcPr>
          <w:p w14:paraId="45055501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1269" w:type="dxa"/>
            <w:vAlign w:val="center"/>
          </w:tcPr>
          <w:p w14:paraId="04350562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</w:tr>
      <w:tr w14:paraId="7FE16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 w14:paraId="7987E33F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4" w:type="dxa"/>
            <w:vAlign w:val="center"/>
          </w:tcPr>
          <w:p w14:paraId="511CE7AF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829" w:type="dxa"/>
            <w:vAlign w:val="center"/>
          </w:tcPr>
          <w:p w14:paraId="761EDE15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502" w:type="dxa"/>
            <w:vAlign w:val="center"/>
          </w:tcPr>
          <w:p w14:paraId="06298F23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960" w:type="dxa"/>
            <w:vAlign w:val="center"/>
          </w:tcPr>
          <w:p w14:paraId="70B07FAA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2" w:type="dxa"/>
            <w:vAlign w:val="center"/>
          </w:tcPr>
          <w:p w14:paraId="5D4BA7D0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941" w:type="dxa"/>
            <w:vAlign w:val="center"/>
          </w:tcPr>
          <w:p w14:paraId="3E28A2AA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892" w:type="dxa"/>
            <w:vAlign w:val="center"/>
          </w:tcPr>
          <w:p w14:paraId="2178CC9D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1092" w:type="dxa"/>
            <w:vAlign w:val="center"/>
          </w:tcPr>
          <w:p w14:paraId="0B62FF34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839" w:type="dxa"/>
            <w:vAlign w:val="center"/>
          </w:tcPr>
          <w:p w14:paraId="7127AA8A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1269" w:type="dxa"/>
            <w:vAlign w:val="center"/>
          </w:tcPr>
          <w:p w14:paraId="34BAA9B7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</w:tr>
      <w:tr w14:paraId="70AB2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 w14:paraId="780812FD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green"/>
              </w:rPr>
            </w:pPr>
          </w:p>
        </w:tc>
        <w:tc>
          <w:tcPr>
            <w:tcW w:w="1244" w:type="dxa"/>
            <w:vAlign w:val="center"/>
          </w:tcPr>
          <w:p w14:paraId="3B732C6F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829" w:type="dxa"/>
            <w:vAlign w:val="center"/>
          </w:tcPr>
          <w:p w14:paraId="6306ECF6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502" w:type="dxa"/>
            <w:vAlign w:val="center"/>
          </w:tcPr>
          <w:p w14:paraId="23363BB4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960" w:type="dxa"/>
            <w:vAlign w:val="center"/>
          </w:tcPr>
          <w:p w14:paraId="10BF04E2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982" w:type="dxa"/>
            <w:vAlign w:val="center"/>
          </w:tcPr>
          <w:p w14:paraId="2ACB3C5F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941" w:type="dxa"/>
            <w:vAlign w:val="center"/>
          </w:tcPr>
          <w:p w14:paraId="2AC66345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892" w:type="dxa"/>
            <w:vAlign w:val="center"/>
          </w:tcPr>
          <w:p w14:paraId="44FEBA30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1092" w:type="dxa"/>
            <w:vAlign w:val="center"/>
          </w:tcPr>
          <w:p w14:paraId="2E11933A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839" w:type="dxa"/>
            <w:vAlign w:val="center"/>
          </w:tcPr>
          <w:p w14:paraId="02884FB4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1269" w:type="dxa"/>
            <w:vAlign w:val="center"/>
          </w:tcPr>
          <w:p w14:paraId="582093FC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</w:tr>
      <w:tr w14:paraId="471B7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54" w:type="dxa"/>
            <w:gridSpan w:val="8"/>
            <w:vAlign w:val="center"/>
          </w:tcPr>
          <w:p w14:paraId="5CB5BED5">
            <w:pPr>
              <w:tabs>
                <w:tab w:val="left" w:pos="3872"/>
              </w:tabs>
              <w:jc w:val="left"/>
              <w:rPr>
                <w:rFonts w:eastAsia="黑体"/>
                <w:bCs/>
                <w:sz w:val="32"/>
                <w:szCs w:val="32"/>
              </w:rPr>
            </w:pPr>
            <w:r>
              <w:rPr>
                <w:rFonts w:hint="eastAsia" w:eastAsia="黑体"/>
                <w:bCs/>
                <w:sz w:val="32"/>
                <w:szCs w:val="32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092" w:type="dxa"/>
            <w:vAlign w:val="center"/>
          </w:tcPr>
          <w:p w14:paraId="380F217A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839" w:type="dxa"/>
            <w:vAlign w:val="center"/>
          </w:tcPr>
          <w:p w14:paraId="22D1835F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1269" w:type="dxa"/>
            <w:vAlign w:val="center"/>
          </w:tcPr>
          <w:p w14:paraId="0D499E47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</w:tr>
      <w:tr w14:paraId="3A6CD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54" w:type="dxa"/>
            <w:gridSpan w:val="11"/>
            <w:vAlign w:val="center"/>
          </w:tcPr>
          <w:p w14:paraId="1D1BD88F">
            <w:pPr>
              <w:rPr>
                <w:rFonts w:eastAsia="仿宋_GB2312"/>
                <w:szCs w:val="21"/>
              </w:rPr>
            </w:pPr>
            <w:r>
              <w:rPr>
                <w:rStyle w:val="7"/>
              </w:rPr>
              <w:br w:type="textWrapping"/>
            </w:r>
            <w:r>
              <w:rPr>
                <w:rFonts w:hint="eastAsia" w:eastAsia="仿宋_GB2312"/>
                <w:szCs w:val="21"/>
              </w:rPr>
              <w:t>注：1.以上砂浆数量为暂估量，最终以现场实际收方签字为准。</w:t>
            </w:r>
          </w:p>
          <w:p w14:paraId="5FF9C4BE">
            <w:pPr>
              <w:pStyle w:val="3"/>
              <w:spacing w:after="0"/>
              <w:ind w:firstLineChars="200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2.</w:t>
            </w:r>
            <w:r>
              <w:rPr>
                <w:rFonts w:eastAsia="仿宋_GB2312"/>
                <w:szCs w:val="21"/>
              </w:rPr>
              <w:t>所有标号</w:t>
            </w:r>
            <w:r>
              <w:rPr>
                <w:rFonts w:hint="eastAsia" w:eastAsia="仿宋_GB2312"/>
                <w:szCs w:val="21"/>
              </w:rPr>
              <w:t>砂浆</w:t>
            </w:r>
            <w:r>
              <w:rPr>
                <w:rFonts w:eastAsia="仿宋_GB2312"/>
                <w:szCs w:val="21"/>
              </w:rPr>
              <w:t>单价</w:t>
            </w:r>
            <w:r>
              <w:rPr>
                <w:rFonts w:hint="eastAsia" w:eastAsia="仿宋_GB2312"/>
                <w:szCs w:val="21"/>
              </w:rPr>
              <w:t>按</w:t>
            </w:r>
            <w:r>
              <w:rPr>
                <w:rFonts w:eastAsia="仿宋_GB2312"/>
                <w:szCs w:val="21"/>
              </w:rPr>
              <w:t>2025年4月广汉市造价信息价的基础上</w:t>
            </w:r>
            <w:r>
              <w:rPr>
                <w:rFonts w:hint="eastAsia" w:eastAsia="仿宋_GB2312"/>
                <w:szCs w:val="21"/>
              </w:rPr>
              <w:t>以</w:t>
            </w:r>
            <w:r>
              <w:rPr>
                <w:rFonts w:eastAsia="仿宋_GB2312"/>
                <w:szCs w:val="21"/>
              </w:rPr>
              <w:t>同一下浮比例报价，</w:t>
            </w:r>
            <w:r>
              <w:rPr>
                <w:rFonts w:hint="eastAsia" w:eastAsia="仿宋_GB2312"/>
                <w:szCs w:val="21"/>
              </w:rPr>
              <w:t>单价</w:t>
            </w:r>
            <w:r>
              <w:rPr>
                <w:rFonts w:eastAsia="仿宋_GB2312"/>
                <w:szCs w:val="21"/>
              </w:rPr>
              <w:t>包括但不限于运输费、管理费、利润等为完成本项目材料供应的所有费用。</w:t>
            </w:r>
          </w:p>
          <w:p w14:paraId="25DF8737"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4E52FAE"/>
    <w:p w14:paraId="7E9C4F1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0E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Body Text First Indent"/>
    <w:basedOn w:val="2"/>
    <w:semiHidden/>
    <w:qFormat/>
    <w:uiPriority w:val="0"/>
    <w:pPr>
      <w:ind w:firstLine="420" w:firstLineChars="100"/>
    </w:pPr>
    <w:rPr>
      <w:rFonts w:eastAsia="Times New Roman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font31"/>
    <w:basedOn w:val="6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2025-06-27T09:30:12Z</dcterms:created>
  <dc:creator>Administrator</dc:creator>
  <cp:lastModifiedBy>王天赐</cp:lastModifiedBy>
  <dcterms:modified xsi:type="dcterms:W3CDTF">2025-06-27T09:30:25Z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eyJoZGlkIjoiOWViYWExN2Y2Yjg0MzliMTA5MTZlYzAxMTZkZmJkZGMiLCJ1c2VySWQiOiIyNjU3MjEyNzEifQ==</vt:lpwstr>
  </property>
  <property fmtid="{D5CDD505-2E9C-101B-9397-08002B2CF9AE}" pid="4" name="ICV">
    <vt:lpwstr>7CF7ED944EE540089A11D009161D6CDA_12</vt:lpwstr>
  </property>
</Properties>
</file>